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3BA194" w14:textId="576AA64B" w:rsidR="00DC13F4" w:rsidRPr="00DC13F4" w:rsidRDefault="00DC13F4" w:rsidP="00DC13F4">
      <w:pPr>
        <w:spacing w:line="360" w:lineRule="auto"/>
        <w:jc w:val="left"/>
        <w:rPr>
          <w:rFonts w:ascii="宋体" w:eastAsia="宋体" w:hAnsi="宋体"/>
          <w:b/>
          <w:sz w:val="24"/>
          <w:szCs w:val="24"/>
        </w:rPr>
      </w:pPr>
      <w:r w:rsidRPr="00DC13F4">
        <w:rPr>
          <w:rFonts w:ascii="宋体" w:eastAsia="宋体" w:hAnsi="宋体" w:hint="eastAsia"/>
          <w:b/>
          <w:sz w:val="24"/>
          <w:szCs w:val="24"/>
        </w:rPr>
        <w:t>证券代码：</w:t>
      </w:r>
      <w:sdt>
        <w:sdtPr>
          <w:rPr>
            <w:rFonts w:ascii="宋体" w:eastAsia="宋体" w:hAnsi="宋体" w:hint="eastAsia"/>
            <w:b/>
            <w:sz w:val="24"/>
            <w:szCs w:val="24"/>
          </w:rPr>
          <w:alias w:val="公司代码"/>
          <w:tag w:val="_GBC_0dcdbbff383a44b884a25399ca4a0baa"/>
          <w:id w:val="1338926"/>
          <w:placeholder>
            <w:docPart w:val="0884EC0B18A34735AD72A98B382A655F"/>
          </w:placeholder>
        </w:sdtPr>
        <w:sdtContent>
          <w:r w:rsidRPr="00DC13F4">
            <w:rPr>
              <w:rFonts w:ascii="宋体" w:eastAsia="宋体" w:hAnsi="宋体"/>
              <w:b/>
              <w:sz w:val="24"/>
              <w:szCs w:val="24"/>
            </w:rPr>
            <w:t>688480</w:t>
          </w:r>
        </w:sdtContent>
      </w:sdt>
      <w:r w:rsidRPr="00DC13F4">
        <w:rPr>
          <w:rFonts w:ascii="宋体" w:eastAsia="宋体" w:hAnsi="宋体" w:hint="eastAsia"/>
          <w:b/>
          <w:sz w:val="24"/>
          <w:szCs w:val="24"/>
        </w:rPr>
        <w:t xml:space="preserve">   </w:t>
      </w:r>
      <w:r w:rsidRPr="00DC13F4">
        <w:rPr>
          <w:rFonts w:ascii="宋体" w:eastAsia="宋体" w:hAnsi="宋体"/>
          <w:b/>
          <w:sz w:val="24"/>
          <w:szCs w:val="24"/>
        </w:rPr>
        <w:t xml:space="preserve">  </w:t>
      </w:r>
      <w:r w:rsidRPr="00DC13F4">
        <w:rPr>
          <w:rFonts w:ascii="宋体" w:eastAsia="宋体" w:hAnsi="宋体" w:hint="eastAsia"/>
          <w:b/>
          <w:sz w:val="24"/>
          <w:szCs w:val="24"/>
        </w:rPr>
        <w:t xml:space="preserve">   </w:t>
      </w:r>
      <w:r>
        <w:rPr>
          <w:rFonts w:ascii="宋体" w:eastAsia="宋体" w:hAnsi="宋体"/>
          <w:b/>
          <w:sz w:val="24"/>
          <w:szCs w:val="24"/>
        </w:rPr>
        <w:t xml:space="preserve"> </w:t>
      </w:r>
      <w:r w:rsidRPr="00DC13F4">
        <w:rPr>
          <w:rFonts w:ascii="宋体" w:eastAsia="宋体" w:hAnsi="宋体" w:hint="eastAsia"/>
          <w:b/>
          <w:sz w:val="24"/>
          <w:szCs w:val="24"/>
        </w:rPr>
        <w:t>证券简称：</w:t>
      </w:r>
      <w:sdt>
        <w:sdtPr>
          <w:rPr>
            <w:rFonts w:ascii="宋体" w:eastAsia="宋体" w:hAnsi="宋体" w:hint="eastAsia"/>
            <w:b/>
            <w:sz w:val="24"/>
            <w:szCs w:val="24"/>
          </w:rPr>
          <w:alias w:val="公司简称"/>
          <w:tag w:val="_GBC_f5623227a3ee4840afdcddd73ac9f53d"/>
          <w:id w:val="1338928"/>
          <w:placeholder>
            <w:docPart w:val="0884EC0B18A34735AD72A98B382A655F"/>
          </w:placeholder>
        </w:sdtPr>
        <w:sdtContent>
          <w:r w:rsidRPr="00DC13F4">
            <w:rPr>
              <w:rFonts w:ascii="宋体" w:eastAsia="宋体" w:hAnsi="宋体" w:hint="eastAsia"/>
              <w:b/>
              <w:sz w:val="24"/>
              <w:szCs w:val="24"/>
            </w:rPr>
            <w:t>赛恩斯</w:t>
          </w:r>
        </w:sdtContent>
      </w:sdt>
      <w:r w:rsidRPr="00DC13F4">
        <w:rPr>
          <w:rFonts w:ascii="宋体" w:eastAsia="宋体" w:hAnsi="宋体" w:hint="eastAsia"/>
          <w:b/>
          <w:sz w:val="24"/>
          <w:szCs w:val="24"/>
        </w:rPr>
        <w:t xml:space="preserve">  </w:t>
      </w:r>
      <w:r>
        <w:rPr>
          <w:rFonts w:ascii="宋体" w:eastAsia="宋体" w:hAnsi="宋体"/>
          <w:b/>
          <w:sz w:val="24"/>
          <w:szCs w:val="24"/>
        </w:rPr>
        <w:t xml:space="preserve"> </w:t>
      </w:r>
      <w:r w:rsidRPr="00DC13F4">
        <w:rPr>
          <w:rFonts w:ascii="宋体" w:eastAsia="宋体" w:hAnsi="宋体" w:hint="eastAsia"/>
          <w:b/>
          <w:sz w:val="24"/>
          <w:szCs w:val="24"/>
        </w:rPr>
        <w:t xml:space="preserve">      公告编号：</w:t>
      </w:r>
      <w:sdt>
        <w:sdtPr>
          <w:rPr>
            <w:rFonts w:ascii="宋体" w:eastAsia="宋体" w:hAnsi="宋体" w:hint="eastAsia"/>
            <w:b/>
            <w:sz w:val="24"/>
            <w:szCs w:val="24"/>
          </w:rPr>
          <w:alias w:val="临时公告编号"/>
          <w:tag w:val="_GBC_dcb018bd62474b058af46af691e50649"/>
          <w:id w:val="961560"/>
          <w:placeholder>
            <w:docPart w:val="0884EC0B18A34735AD72A98B382A655F"/>
          </w:placeholder>
        </w:sdtPr>
        <w:sdtContent>
          <w:r w:rsidRPr="00DC13F4">
            <w:rPr>
              <w:rFonts w:ascii="宋体" w:eastAsia="宋体" w:hAnsi="宋体" w:hint="eastAsia"/>
              <w:b/>
              <w:sz w:val="24"/>
              <w:szCs w:val="24"/>
            </w:rPr>
            <w:t>2023-</w:t>
          </w:r>
          <w:r w:rsidR="0097390D" w:rsidRPr="00DC13F4">
            <w:rPr>
              <w:rFonts w:ascii="宋体" w:eastAsia="宋体" w:hAnsi="宋体"/>
              <w:b/>
              <w:sz w:val="24"/>
              <w:szCs w:val="24"/>
            </w:rPr>
            <w:t>00</w:t>
          </w:r>
          <w:r w:rsidR="0097390D">
            <w:rPr>
              <w:rFonts w:ascii="宋体" w:eastAsia="宋体" w:hAnsi="宋体"/>
              <w:b/>
              <w:sz w:val="24"/>
              <w:szCs w:val="24"/>
            </w:rPr>
            <w:t>5</w:t>
          </w:r>
        </w:sdtContent>
      </w:sdt>
    </w:p>
    <w:sdt>
      <w:sdtPr>
        <w:rPr>
          <w:rFonts w:ascii="宋体" w:eastAsia="宋体" w:hAnsi="宋体"/>
        </w:rPr>
        <w:tag w:val="_GBC_de6e6343542648f0a190afa64874564f"/>
        <w:id w:val="27626831"/>
        <w:placeholder>
          <w:docPart w:val="0884EC0B18A34735AD72A98B382A655F"/>
        </w:placeholder>
      </w:sdtPr>
      <w:sdtEndPr>
        <w:rPr>
          <w:rFonts w:hint="eastAsia"/>
          <w:b/>
          <w:color w:val="FF0000"/>
          <w:sz w:val="36"/>
          <w:szCs w:val="36"/>
        </w:rPr>
      </w:sdtEndPr>
      <w:sdtContent>
        <w:sdt>
          <w:sdtPr>
            <w:rPr>
              <w:rFonts w:ascii="宋体" w:eastAsia="宋体" w:hAnsi="宋体"/>
              <w:b/>
              <w:color w:val="FF0000"/>
              <w:sz w:val="36"/>
              <w:szCs w:val="36"/>
            </w:rPr>
            <w:alias w:val="公司法定中文名称"/>
            <w:tag w:val="_GBC_42181109f5334b868c04fa99b4f637e7"/>
            <w:id w:val="961574"/>
            <w:placeholder>
              <w:docPart w:val="0884EC0B18A34735AD72A98B382A655F"/>
            </w:placeholder>
            <w:dataBinding w:prefixMappings="xmlns:clcta-gie='clcta-gie'" w:xpath="/*/clcta-gie:GongSiFaDingZhongWenMingCheng[not(@periodRef)]" w:storeItemID="{636E1DF2-5A72-4FE2-BF65-8FD875BB309E}"/>
            <w:text/>
          </w:sdtPr>
          <w:sdtEndPr>
            <w:rPr>
              <w:rFonts w:hint="eastAsia"/>
            </w:rPr>
          </w:sdtEndPr>
          <w:sdtContent>
            <w:p w14:paraId="54B2808F" w14:textId="46A3207F" w:rsidR="00DC13F4" w:rsidRPr="00DC13F4" w:rsidRDefault="00DC13F4" w:rsidP="0065655C">
              <w:pPr>
                <w:jc w:val="center"/>
                <w:rPr>
                  <w:rFonts w:ascii="宋体" w:eastAsia="宋体" w:hAnsi="宋体"/>
                  <w:b/>
                  <w:color w:val="FF0000"/>
                  <w:sz w:val="36"/>
                  <w:szCs w:val="36"/>
                </w:rPr>
              </w:pPr>
              <w:r w:rsidRPr="00DC13F4">
                <w:rPr>
                  <w:rFonts w:ascii="宋体" w:eastAsia="宋体" w:hAnsi="宋体"/>
                  <w:b/>
                  <w:color w:val="FF0000"/>
                  <w:sz w:val="36"/>
                  <w:szCs w:val="36"/>
                </w:rPr>
                <w:t>赛恩斯环保股份有限公司</w:t>
              </w:r>
            </w:p>
          </w:sdtContent>
        </w:sdt>
        <w:sdt>
          <w:sdtPr>
            <w:rPr>
              <w:rFonts w:ascii="宋体" w:eastAsia="宋体" w:hAnsi="宋体" w:hint="eastAsia"/>
              <w:b/>
              <w:color w:val="FF0000"/>
              <w:sz w:val="36"/>
              <w:szCs w:val="36"/>
            </w:rPr>
            <w:alias w:val="公告标题"/>
            <w:tag w:val="_GBC_e6b4af0bb63b49058cc4414baa62ad42"/>
            <w:id w:val="1975793950"/>
            <w:placeholder>
              <w:docPart w:val="0884EC0B18A34735AD72A98B382A655F"/>
            </w:placeholder>
          </w:sdtPr>
          <w:sdtContent>
            <w:p w14:paraId="783CD79C" w14:textId="77777777" w:rsidR="0065655C" w:rsidRDefault="00000000" w:rsidP="0065655C">
              <w:pPr>
                <w:jc w:val="center"/>
                <w:rPr>
                  <w:rFonts w:ascii="宋体" w:eastAsia="宋体" w:hAnsi="宋体"/>
                  <w:b/>
                  <w:color w:val="FF0000"/>
                  <w:sz w:val="36"/>
                  <w:szCs w:val="36"/>
                </w:rPr>
              </w:pPr>
              <w:sdt>
                <w:sdtPr>
                  <w:rPr>
                    <w:rFonts w:ascii="宋体" w:eastAsia="宋体" w:hAnsi="宋体" w:hint="eastAsia"/>
                    <w:b/>
                    <w:color w:val="FF0000"/>
                    <w:sz w:val="36"/>
                    <w:szCs w:val="36"/>
                  </w:rPr>
                  <w:alias w:val="股东大会召开年度"/>
                  <w:tag w:val="_GBC_7bfad2ce616d46cd968fbf6b0e3edc90"/>
                  <w:id w:val="961576"/>
                  <w:placeholder>
                    <w:docPart w:val="0884EC0B18A34735AD72A98B382A655F"/>
                  </w:placeholder>
                  <w:showingPlcHdr/>
                  <w:dataBinding w:prefixMappings="xmlns:clcta-be='clcta-be'" w:xpath="/*/clcta-be:GuDongDaHuiZhaoKaiNianDu[not(@periodRef)]" w:storeItemID="{636E1DF2-5A72-4FE2-BF65-8FD875BB309E}"/>
                  <w:text/>
                </w:sdtPr>
                <w:sdtContent>
                  <w:r w:rsidR="002C0471" w:rsidRPr="002C0471">
                    <w:rPr>
                      <w:rStyle w:val="aa"/>
                      <w:rFonts w:hint="eastAsia"/>
                      <w:color w:val="333399"/>
                    </w:rPr>
                    <w:t xml:space="preserve">　　　</w:t>
                  </w:r>
                </w:sdtContent>
              </w:sdt>
              <w:r w:rsidR="002C0471">
                <w:rPr>
                  <w:rFonts w:ascii="宋体" w:eastAsia="宋体" w:hAnsi="宋体" w:hint="eastAsia"/>
                  <w:b/>
                  <w:color w:val="FF0000"/>
                  <w:sz w:val="36"/>
                  <w:szCs w:val="36"/>
                </w:rPr>
                <w:t>关于增加使用闲置募集资金进行</w:t>
              </w:r>
            </w:p>
            <w:p w14:paraId="5EFAC6F6" w14:textId="17F431E7" w:rsidR="00DC13F4" w:rsidRPr="00DC13F4" w:rsidRDefault="002C0471" w:rsidP="0065655C">
              <w:pPr>
                <w:jc w:val="center"/>
                <w:rPr>
                  <w:rFonts w:ascii="宋体" w:eastAsia="宋体" w:hAnsi="宋体"/>
                  <w:b/>
                  <w:color w:val="FF0000"/>
                  <w:sz w:val="36"/>
                  <w:szCs w:val="36"/>
                </w:rPr>
              </w:pPr>
              <w:r>
                <w:rPr>
                  <w:rFonts w:ascii="宋体" w:eastAsia="宋体" w:hAnsi="宋体" w:hint="eastAsia"/>
                  <w:b/>
                  <w:color w:val="FF0000"/>
                  <w:sz w:val="36"/>
                  <w:szCs w:val="36"/>
                </w:rPr>
                <w:t>现金管理额度的公告</w:t>
              </w:r>
            </w:p>
          </w:sdtContent>
        </w:sdt>
      </w:sdtContent>
    </w:sdt>
    <w:p w14:paraId="55AFC37A" w14:textId="77777777" w:rsidR="00DC13F4" w:rsidRPr="00DC13F4" w:rsidRDefault="00DC13F4" w:rsidP="00DC13F4">
      <w:pPr>
        <w:jc w:val="center"/>
        <w:rPr>
          <w:rFonts w:ascii="宋体" w:eastAsia="宋体" w:hAnsi="宋体"/>
          <w:b/>
          <w:color w:val="FF0000"/>
          <w:sz w:val="36"/>
          <w:szCs w:val="36"/>
        </w:rPr>
      </w:pPr>
    </w:p>
    <w:tbl>
      <w:tblPr>
        <w:tblStyle w:val="a7"/>
        <w:tblW w:w="0" w:type="auto"/>
        <w:tblLook w:val="04A0" w:firstRow="1" w:lastRow="0" w:firstColumn="1" w:lastColumn="0" w:noHBand="0" w:noVBand="1"/>
      </w:tblPr>
      <w:tblGrid>
        <w:gridCol w:w="8522"/>
      </w:tblGrid>
      <w:sdt>
        <w:sdtPr>
          <w:rPr>
            <w:rFonts w:ascii="宋体" w:eastAsia="宋体" w:hAnsi="宋体" w:cs="Times New Roman" w:hint="eastAsia"/>
            <w:sz w:val="24"/>
          </w:rPr>
          <w:alias w:val="模块:本公司董事会及全体董事保证本公告内容不存在任何虚假记载、误导..."/>
          <w:tag w:val="_GBC_9b9a298b975743348a94e3545b79e47f"/>
          <w:id w:val="2304218"/>
          <w:placeholder>
            <w:docPart w:val="24F22B25AD554CE6B7A18D45DC90EF5C"/>
          </w:placeholder>
        </w:sdtPr>
        <w:sdtContent>
          <w:tr w:rsidR="00DC13F4" w:rsidRPr="00DC13F4" w14:paraId="1C5F8051" w14:textId="77777777" w:rsidTr="00860ACD">
            <w:tc>
              <w:tcPr>
                <w:tcW w:w="8522" w:type="dxa"/>
              </w:tcPr>
              <w:p w14:paraId="52EAFFAD" w14:textId="5FD20FD9" w:rsidR="00DC13F4" w:rsidRPr="00DC13F4" w:rsidRDefault="00DC13F4" w:rsidP="00860ACD">
                <w:pPr>
                  <w:autoSpaceDE w:val="0"/>
                  <w:autoSpaceDN w:val="0"/>
                  <w:spacing w:line="360" w:lineRule="auto"/>
                  <w:ind w:firstLineChars="200" w:firstLine="480"/>
                  <w:rPr>
                    <w:rFonts w:ascii="宋体" w:eastAsia="宋体" w:hAnsi="宋体"/>
                    <w:sz w:val="24"/>
                  </w:rPr>
                </w:pPr>
                <w:r w:rsidRPr="00DC13F4">
                  <w:rPr>
                    <w:rFonts w:ascii="宋体" w:eastAsia="宋体" w:hAnsi="宋体" w:cs="Times New Roman" w:hint="eastAsia"/>
                    <w:sz w:val="24"/>
                  </w:rPr>
                  <w:t>本公司董事会及全体董事保证公告内容不存在任何虚假记载、误导性陈述或者重大遗漏，并对其内容的真实性、准确性和完整性依法承担法律责任。</w:t>
                </w:r>
              </w:p>
            </w:tc>
          </w:tr>
        </w:sdtContent>
      </w:sdt>
    </w:tbl>
    <w:p w14:paraId="3FD45326" w14:textId="6A09F741" w:rsidR="00DC13F4" w:rsidRDefault="00DC13F4" w:rsidP="006E0476">
      <w:pPr>
        <w:pStyle w:val="a8"/>
        <w:spacing w:beforeLines="50" w:before="156" w:line="360" w:lineRule="auto"/>
        <w:ind w:left="0" w:firstLineChars="200" w:firstLine="480"/>
        <w:jc w:val="both"/>
        <w:rPr>
          <w:lang w:eastAsia="zh-CN"/>
        </w:rPr>
      </w:pPr>
      <w:r>
        <w:rPr>
          <w:rFonts w:hint="eastAsia"/>
          <w:lang w:eastAsia="zh-CN"/>
        </w:rPr>
        <w:t>赛恩斯环保股份有限公司</w:t>
      </w:r>
      <w:r>
        <w:rPr>
          <w:lang w:eastAsia="zh-CN"/>
        </w:rPr>
        <w:t>（以下简称“公司”）于2023年2月1日分别召开第二届董事会第十</w:t>
      </w:r>
      <w:r>
        <w:rPr>
          <w:rFonts w:hint="eastAsia"/>
          <w:lang w:eastAsia="zh-CN"/>
        </w:rPr>
        <w:t>八</w:t>
      </w:r>
      <w:r>
        <w:rPr>
          <w:lang w:eastAsia="zh-CN"/>
        </w:rPr>
        <w:t>次会议和第二届监事会第十</w:t>
      </w:r>
      <w:r>
        <w:rPr>
          <w:rFonts w:hint="eastAsia"/>
          <w:lang w:eastAsia="zh-CN"/>
        </w:rPr>
        <w:t>二</w:t>
      </w:r>
      <w:r>
        <w:rPr>
          <w:lang w:eastAsia="zh-CN"/>
        </w:rPr>
        <w:t>次会议，审议通过了《关于</w:t>
      </w:r>
      <w:r w:rsidR="006E0476">
        <w:rPr>
          <w:rFonts w:hint="eastAsia"/>
          <w:lang w:eastAsia="zh-CN"/>
        </w:rPr>
        <w:t>增加</w:t>
      </w:r>
      <w:r>
        <w:rPr>
          <w:lang w:eastAsia="zh-CN"/>
        </w:rPr>
        <w:t>使用部分闲置募集资金进行现金管理额度的议案》。确认</w:t>
      </w:r>
      <w:r w:rsidR="00F4560A">
        <w:rPr>
          <w:rFonts w:hint="eastAsia"/>
          <w:lang w:eastAsia="zh-CN"/>
        </w:rPr>
        <w:t>增加</w:t>
      </w:r>
      <w:r>
        <w:rPr>
          <w:lang w:eastAsia="zh-CN"/>
        </w:rPr>
        <w:t>使用闲置募集资金进行现金管理额度，增加现金管理额度</w:t>
      </w:r>
      <w:r w:rsidR="00F4560A">
        <w:rPr>
          <w:rFonts w:hint="eastAsia"/>
          <w:lang w:eastAsia="zh-CN"/>
        </w:rPr>
        <w:t>为</w:t>
      </w:r>
      <w:r w:rsidR="0047259E">
        <w:rPr>
          <w:rFonts w:hint="eastAsia"/>
          <w:lang w:eastAsia="zh-CN"/>
        </w:rPr>
        <w:t>1</w:t>
      </w:r>
      <w:r>
        <w:rPr>
          <w:lang w:eastAsia="zh-CN"/>
        </w:rPr>
        <w:t>亿元</w:t>
      </w:r>
      <w:r w:rsidR="002D7585">
        <w:rPr>
          <w:rFonts w:hint="eastAsia"/>
          <w:lang w:eastAsia="zh-CN"/>
        </w:rPr>
        <w:t>（含本数）</w:t>
      </w:r>
      <w:r>
        <w:rPr>
          <w:lang w:eastAsia="zh-CN"/>
        </w:rPr>
        <w:t>，增加后</w:t>
      </w:r>
      <w:r w:rsidR="004F2FB5">
        <w:rPr>
          <w:rFonts w:hint="eastAsia"/>
          <w:lang w:eastAsia="zh-CN"/>
        </w:rPr>
        <w:t>公司及子公司</w:t>
      </w:r>
      <w:r>
        <w:rPr>
          <w:lang w:eastAsia="zh-CN"/>
        </w:rPr>
        <w:t>合计拟使用不超过人民币</w:t>
      </w:r>
      <w:r w:rsidR="0047259E">
        <w:rPr>
          <w:lang w:eastAsia="zh-CN"/>
        </w:rPr>
        <w:t>3.5</w:t>
      </w:r>
      <w:r>
        <w:rPr>
          <w:lang w:eastAsia="zh-CN"/>
        </w:rPr>
        <w:t>亿元</w:t>
      </w:r>
      <w:r w:rsidR="002D7585">
        <w:rPr>
          <w:rFonts w:hint="eastAsia"/>
          <w:lang w:eastAsia="zh-CN"/>
        </w:rPr>
        <w:t>（含本数）</w:t>
      </w:r>
      <w:r>
        <w:rPr>
          <w:lang w:eastAsia="zh-CN"/>
        </w:rPr>
        <w:t>的闲置募集资金进行现金管理，使用期限自第二届董事会第十</w:t>
      </w:r>
      <w:r>
        <w:rPr>
          <w:rFonts w:hint="eastAsia"/>
          <w:lang w:eastAsia="zh-CN"/>
        </w:rPr>
        <w:t>八</w:t>
      </w:r>
      <w:r>
        <w:rPr>
          <w:lang w:eastAsia="zh-CN"/>
        </w:rPr>
        <w:t>次会议审议通过之日起不超过12个月</w:t>
      </w:r>
      <w:r w:rsidR="00F4560A">
        <w:rPr>
          <w:rFonts w:hint="eastAsia"/>
          <w:lang w:eastAsia="zh-CN"/>
        </w:rPr>
        <w:t>，</w:t>
      </w:r>
      <w:r>
        <w:rPr>
          <w:lang w:eastAsia="zh-CN"/>
        </w:rPr>
        <w:t>在上述额度和期限内，资金可循环滚动使用。</w:t>
      </w:r>
    </w:p>
    <w:p w14:paraId="12CEDCEB" w14:textId="2DE27DB0" w:rsidR="00DC13F4" w:rsidRDefault="00DC13F4" w:rsidP="006E0476">
      <w:pPr>
        <w:pStyle w:val="a8"/>
        <w:spacing w:line="360" w:lineRule="auto"/>
        <w:ind w:left="0" w:firstLineChars="200" w:firstLine="480"/>
        <w:jc w:val="both"/>
        <w:rPr>
          <w:lang w:eastAsia="zh-CN"/>
        </w:rPr>
      </w:pPr>
      <w:r w:rsidRPr="00DC13F4">
        <w:rPr>
          <w:rFonts w:hint="eastAsia"/>
          <w:lang w:eastAsia="zh-CN"/>
        </w:rPr>
        <w:t>董事会授权公司管理层在授权额度和期限内行使现金管理投资决策权并签署相关合同文件，具体事项由公司财务部负责组织实施。上述事项在公司董事会审批权限范围内</w:t>
      </w:r>
      <w:r w:rsidRPr="00DC13F4">
        <w:rPr>
          <w:lang w:eastAsia="zh-CN"/>
        </w:rPr>
        <w:t>,无需提交公司股东大会审批。公司监事会、独立董事发表了明确同意的意见，保荐机构申万宏源证券承销保荐有限责任公司对上述事项出具了明确同意的核查意见。现将公司本次</w:t>
      </w:r>
      <w:r w:rsidR="00F91F0B">
        <w:rPr>
          <w:rFonts w:hint="eastAsia"/>
          <w:lang w:eastAsia="zh-CN"/>
        </w:rPr>
        <w:t>增加</w:t>
      </w:r>
      <w:r w:rsidRPr="00DC13F4">
        <w:rPr>
          <w:lang w:eastAsia="zh-CN"/>
        </w:rPr>
        <w:t>使用部分闲置募集资金进行现金管理</w:t>
      </w:r>
      <w:r w:rsidR="00F91F0B">
        <w:rPr>
          <w:rFonts w:hint="eastAsia"/>
          <w:lang w:eastAsia="zh-CN"/>
        </w:rPr>
        <w:t>额度</w:t>
      </w:r>
      <w:r w:rsidRPr="00DC13F4">
        <w:rPr>
          <w:lang w:eastAsia="zh-CN"/>
        </w:rPr>
        <w:t>的具体情况公告如下：</w:t>
      </w:r>
    </w:p>
    <w:p w14:paraId="3C80ADF7" w14:textId="7309636D" w:rsidR="00DC13F4" w:rsidRPr="004A1A3A" w:rsidRDefault="004D3A1C" w:rsidP="004D3A1C">
      <w:pPr>
        <w:pStyle w:val="1"/>
        <w:spacing w:before="0" w:line="480" w:lineRule="auto"/>
        <w:ind w:left="0" w:firstLineChars="200" w:firstLine="482"/>
        <w:rPr>
          <w:lang w:eastAsia="zh-CN"/>
        </w:rPr>
      </w:pPr>
      <w:r>
        <w:rPr>
          <w:rFonts w:hint="eastAsia"/>
          <w:lang w:eastAsia="zh-CN"/>
        </w:rPr>
        <w:t>一、</w:t>
      </w:r>
      <w:r w:rsidR="00DC13F4" w:rsidRPr="004A1A3A">
        <w:rPr>
          <w:lang w:eastAsia="zh-CN"/>
        </w:rPr>
        <w:t xml:space="preserve">募集资金基本情况 </w:t>
      </w:r>
    </w:p>
    <w:p w14:paraId="7F4A5971" w14:textId="74D48D94" w:rsidR="0023484C" w:rsidRDefault="0023484C" w:rsidP="006E0476">
      <w:pPr>
        <w:pStyle w:val="a8"/>
        <w:spacing w:line="360" w:lineRule="auto"/>
        <w:ind w:left="0" w:firstLineChars="200" w:firstLine="480"/>
        <w:jc w:val="both"/>
        <w:rPr>
          <w:lang w:eastAsia="zh-CN"/>
        </w:rPr>
      </w:pPr>
      <w:r>
        <w:rPr>
          <w:rFonts w:hint="eastAsia"/>
          <w:lang w:eastAsia="zh-CN"/>
        </w:rPr>
        <w:t>根据中国证券监督管理委员会于</w:t>
      </w:r>
      <w:r>
        <w:rPr>
          <w:lang w:eastAsia="zh-CN"/>
        </w:rPr>
        <w:t>2022年9月15日出具的《关于同意赛恩斯环保股份有限公司首次公开发行股票注册的批复》（证监许可〔2022〕</w:t>
      </w:r>
      <w:r w:rsidR="00BD1938">
        <w:rPr>
          <w:rFonts w:hint="eastAsia"/>
          <w:lang w:eastAsia="zh-CN"/>
        </w:rPr>
        <w:t>2</w:t>
      </w:r>
      <w:r>
        <w:rPr>
          <w:lang w:eastAsia="zh-CN"/>
        </w:rPr>
        <w:t>116号），公司获准向社会公开发行人民币普通股2</w:t>
      </w:r>
      <w:r w:rsidR="00F4560A">
        <w:rPr>
          <w:lang w:eastAsia="zh-CN"/>
        </w:rPr>
        <w:t>,</w:t>
      </w:r>
      <w:r>
        <w:rPr>
          <w:lang w:eastAsia="zh-CN"/>
        </w:rPr>
        <w:t>370.6667万股，每股发行价格为人民币19.18元，募集资金总额为45</w:t>
      </w:r>
      <w:r w:rsidR="00F4560A">
        <w:rPr>
          <w:lang w:eastAsia="zh-CN"/>
        </w:rPr>
        <w:t>,</w:t>
      </w:r>
      <w:r>
        <w:rPr>
          <w:lang w:eastAsia="zh-CN"/>
        </w:rPr>
        <w:t>469.39万元；扣除承销及保荐费用、发行登记费以及其他交易费用共计5,544.91万元（不含增值税金额）后，</w:t>
      </w:r>
      <w:r w:rsidR="00BD1938">
        <w:rPr>
          <w:rFonts w:hint="eastAsia"/>
          <w:lang w:eastAsia="zh-CN"/>
        </w:rPr>
        <w:t>实际</w:t>
      </w:r>
      <w:r>
        <w:rPr>
          <w:lang w:eastAsia="zh-CN"/>
        </w:rPr>
        <w:t>募集资金净额为39</w:t>
      </w:r>
      <w:r w:rsidR="00F4560A">
        <w:rPr>
          <w:rFonts w:hint="eastAsia"/>
          <w:lang w:eastAsia="zh-CN"/>
        </w:rPr>
        <w:t>,</w:t>
      </w:r>
      <w:r>
        <w:rPr>
          <w:lang w:eastAsia="zh-CN"/>
        </w:rPr>
        <w:t>924.48万元，上述资金已全部到位，经天健会计师事务所</w:t>
      </w:r>
      <w:r>
        <w:rPr>
          <w:lang w:eastAsia="zh-CN"/>
        </w:rPr>
        <w:lastRenderedPageBreak/>
        <w:t>（特殊普通合伙）审验并于2022年11月22日出具了</w:t>
      </w:r>
      <w:r w:rsidR="00BD1938">
        <w:rPr>
          <w:lang w:eastAsia="zh-CN"/>
        </w:rPr>
        <w:t>《验资报告》</w:t>
      </w:r>
      <w:r w:rsidR="00BD1938">
        <w:rPr>
          <w:rFonts w:hint="eastAsia"/>
          <w:lang w:eastAsia="zh-CN"/>
        </w:rPr>
        <w:t>（天健验</w:t>
      </w:r>
      <w:r>
        <w:rPr>
          <w:lang w:eastAsia="zh-CN"/>
        </w:rPr>
        <w:t>[2022]1-132号</w:t>
      </w:r>
      <w:r w:rsidR="00BD1938">
        <w:rPr>
          <w:rFonts w:hint="eastAsia"/>
          <w:lang w:eastAsia="zh-CN"/>
        </w:rPr>
        <w:t>）</w:t>
      </w:r>
      <w:r>
        <w:rPr>
          <w:lang w:eastAsia="zh-CN"/>
        </w:rPr>
        <w:t>。</w:t>
      </w:r>
    </w:p>
    <w:p w14:paraId="74A4C3CA" w14:textId="194854D7" w:rsidR="0023484C" w:rsidRDefault="0023484C" w:rsidP="00A82938">
      <w:pPr>
        <w:pStyle w:val="a8"/>
        <w:spacing w:line="360" w:lineRule="auto"/>
        <w:ind w:firstLineChars="200" w:firstLine="480"/>
        <w:jc w:val="both"/>
        <w:rPr>
          <w:lang w:eastAsia="zh-CN"/>
        </w:rPr>
      </w:pPr>
      <w:r>
        <w:rPr>
          <w:rFonts w:hint="eastAsia"/>
          <w:lang w:eastAsia="zh-CN"/>
        </w:rPr>
        <w:t>募集资金到账后，已全部存放于经公司董事会批准开设的募集资金专项账户内，公司已与保荐机构、存放募集资金的商业银行签署了募集资金三方监管协议</w:t>
      </w:r>
      <w:r w:rsidR="00BD1938">
        <w:rPr>
          <w:rFonts w:hint="eastAsia"/>
          <w:lang w:eastAsia="zh-CN"/>
        </w:rPr>
        <w:t>与募集资金四方监管协议</w:t>
      </w:r>
      <w:r>
        <w:rPr>
          <w:rFonts w:hint="eastAsia"/>
          <w:lang w:eastAsia="zh-CN"/>
        </w:rPr>
        <w:t>。</w:t>
      </w:r>
      <w:r w:rsidR="00BD1938">
        <w:rPr>
          <w:lang w:eastAsia="zh-CN"/>
        </w:rPr>
        <w:t>具体情况详见公司于上海证券交易所网站（www.sse.com.cn）披露的《赛恩斯环保股份有限公司首次公开发行股票科创板上市公告书》。</w:t>
      </w:r>
    </w:p>
    <w:p w14:paraId="450532EB" w14:textId="5B42DCA0" w:rsidR="0023484C" w:rsidRPr="004A1A3A" w:rsidRDefault="004D3A1C" w:rsidP="004D3A1C">
      <w:pPr>
        <w:pStyle w:val="1"/>
        <w:spacing w:before="0" w:line="480" w:lineRule="auto"/>
        <w:ind w:left="0" w:firstLineChars="200" w:firstLine="482"/>
        <w:rPr>
          <w:lang w:eastAsia="zh-CN"/>
        </w:rPr>
      </w:pPr>
      <w:r>
        <w:rPr>
          <w:rFonts w:hint="eastAsia"/>
          <w:lang w:eastAsia="zh-CN"/>
        </w:rPr>
        <w:t>二、</w:t>
      </w:r>
      <w:r w:rsidR="00DC13F4" w:rsidRPr="004A1A3A">
        <w:rPr>
          <w:lang w:eastAsia="zh-CN"/>
        </w:rPr>
        <w:t>前次使用部分闲置募集资金进行现金管理基本情况</w:t>
      </w:r>
    </w:p>
    <w:p w14:paraId="5B2681AA" w14:textId="06EB6924" w:rsidR="0023484C" w:rsidRDefault="00DC13F4" w:rsidP="006E0476">
      <w:pPr>
        <w:pStyle w:val="a8"/>
        <w:spacing w:line="360" w:lineRule="auto"/>
        <w:ind w:left="0" w:firstLineChars="200" w:firstLine="480"/>
        <w:jc w:val="both"/>
        <w:rPr>
          <w:lang w:eastAsia="zh-CN"/>
        </w:rPr>
      </w:pPr>
      <w:r>
        <w:rPr>
          <w:lang w:eastAsia="zh-CN"/>
        </w:rPr>
        <w:t>公司于202</w:t>
      </w:r>
      <w:r w:rsidR="0023484C">
        <w:rPr>
          <w:lang w:eastAsia="zh-CN"/>
        </w:rPr>
        <w:t>2</w:t>
      </w:r>
      <w:r>
        <w:rPr>
          <w:lang w:eastAsia="zh-CN"/>
        </w:rPr>
        <w:t>年12月</w:t>
      </w:r>
      <w:r w:rsidR="0023484C">
        <w:rPr>
          <w:lang w:eastAsia="zh-CN"/>
        </w:rPr>
        <w:t>20</w:t>
      </w:r>
      <w:r>
        <w:rPr>
          <w:lang w:eastAsia="zh-CN"/>
        </w:rPr>
        <w:t>日分别召开第二届董事会第十</w:t>
      </w:r>
      <w:r w:rsidR="0023484C">
        <w:rPr>
          <w:rFonts w:hint="eastAsia"/>
          <w:lang w:eastAsia="zh-CN"/>
        </w:rPr>
        <w:t>七</w:t>
      </w:r>
      <w:r>
        <w:rPr>
          <w:lang w:eastAsia="zh-CN"/>
        </w:rPr>
        <w:t>次会议和第二届监事会第十</w:t>
      </w:r>
      <w:r w:rsidR="0023484C">
        <w:rPr>
          <w:rFonts w:hint="eastAsia"/>
          <w:lang w:eastAsia="zh-CN"/>
        </w:rPr>
        <w:t>一</w:t>
      </w:r>
      <w:r>
        <w:rPr>
          <w:lang w:eastAsia="zh-CN"/>
        </w:rPr>
        <w:t>次会议，审议通过了《</w:t>
      </w:r>
      <w:r w:rsidR="0023484C" w:rsidRPr="0023484C">
        <w:rPr>
          <w:rFonts w:hint="eastAsia"/>
          <w:lang w:eastAsia="zh-CN"/>
        </w:rPr>
        <w:t>关于使用部分</w:t>
      </w:r>
      <w:r w:rsidR="0078603F">
        <w:rPr>
          <w:rFonts w:hint="eastAsia"/>
          <w:lang w:eastAsia="zh-CN"/>
        </w:rPr>
        <w:t>暂时</w:t>
      </w:r>
      <w:r w:rsidR="0023484C" w:rsidRPr="0023484C">
        <w:rPr>
          <w:rFonts w:hint="eastAsia"/>
          <w:lang w:eastAsia="zh-CN"/>
        </w:rPr>
        <w:t>闲置募集资金进行现金管理的</w:t>
      </w:r>
      <w:r w:rsidR="00FE5C56">
        <w:rPr>
          <w:rFonts w:hint="eastAsia"/>
          <w:lang w:eastAsia="zh-CN"/>
        </w:rPr>
        <w:t>议案</w:t>
      </w:r>
      <w:r>
        <w:rPr>
          <w:lang w:eastAsia="zh-CN"/>
        </w:rPr>
        <w:t>》。根据决议，公司将使用额度不超过人民币</w:t>
      </w:r>
      <w:r w:rsidR="0023484C">
        <w:rPr>
          <w:lang w:eastAsia="zh-CN"/>
        </w:rPr>
        <w:t>2.5</w:t>
      </w:r>
      <w:r>
        <w:rPr>
          <w:lang w:eastAsia="zh-CN"/>
        </w:rPr>
        <w:t>亿元</w:t>
      </w:r>
      <w:r w:rsidR="002D7585">
        <w:rPr>
          <w:rFonts w:hint="eastAsia"/>
          <w:lang w:eastAsia="zh-CN"/>
        </w:rPr>
        <w:t>（含本数）</w:t>
      </w:r>
      <w:r w:rsidR="0023484C">
        <w:rPr>
          <w:rFonts w:hint="eastAsia"/>
          <w:lang w:eastAsia="zh-CN"/>
        </w:rPr>
        <w:t>的部分暂时闲置募集资金</w:t>
      </w:r>
      <w:r>
        <w:rPr>
          <w:lang w:eastAsia="zh-CN"/>
        </w:rPr>
        <w:t>进行现金管理，使用期限自第二届董事会第十</w:t>
      </w:r>
      <w:r w:rsidR="0023484C">
        <w:rPr>
          <w:rFonts w:hint="eastAsia"/>
          <w:lang w:eastAsia="zh-CN"/>
        </w:rPr>
        <w:t>七</w:t>
      </w:r>
      <w:r>
        <w:rPr>
          <w:lang w:eastAsia="zh-CN"/>
        </w:rPr>
        <w:t>次会议审议通过之日起不超过12个月。</w:t>
      </w:r>
      <w:r w:rsidR="004D3A1C">
        <w:rPr>
          <w:rFonts w:hint="eastAsia"/>
          <w:lang w:eastAsia="zh-CN"/>
        </w:rPr>
        <w:t>目前</w:t>
      </w:r>
      <w:r>
        <w:rPr>
          <w:lang w:eastAsia="zh-CN"/>
        </w:rPr>
        <w:t>，公司累计使用闲置募集资金</w:t>
      </w:r>
      <w:r w:rsidR="004D3A1C">
        <w:rPr>
          <w:rFonts w:hint="eastAsia"/>
          <w:lang w:eastAsia="zh-CN"/>
        </w:rPr>
        <w:t>进行现金管理的情况如下：</w:t>
      </w:r>
    </w:p>
    <w:tbl>
      <w:tblPr>
        <w:tblpPr w:leftFromText="180" w:rightFromText="180" w:vertAnchor="text" w:horzAnchor="margin" w:tblpY="235"/>
        <w:tblW w:w="8755" w:type="dxa"/>
        <w:tblLook w:val="04A0" w:firstRow="1" w:lastRow="0" w:firstColumn="1" w:lastColumn="0" w:noHBand="0" w:noVBand="1"/>
      </w:tblPr>
      <w:tblGrid>
        <w:gridCol w:w="516"/>
        <w:gridCol w:w="868"/>
        <w:gridCol w:w="755"/>
        <w:gridCol w:w="1536"/>
        <w:gridCol w:w="941"/>
        <w:gridCol w:w="936"/>
        <w:gridCol w:w="1291"/>
        <w:gridCol w:w="1216"/>
        <w:gridCol w:w="696"/>
      </w:tblGrid>
      <w:tr w:rsidR="00BC1A62" w:rsidRPr="007C39A0" w14:paraId="0C7AE319" w14:textId="77777777" w:rsidTr="00294D05">
        <w:trPr>
          <w:trHeight w:val="945"/>
        </w:trPr>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08F7D6"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序号</w:t>
            </w:r>
          </w:p>
        </w:tc>
        <w:tc>
          <w:tcPr>
            <w:tcW w:w="868" w:type="dxa"/>
            <w:tcBorders>
              <w:top w:val="single" w:sz="4" w:space="0" w:color="auto"/>
              <w:left w:val="nil"/>
              <w:bottom w:val="single" w:sz="4" w:space="0" w:color="auto"/>
              <w:right w:val="single" w:sz="4" w:space="0" w:color="auto"/>
            </w:tcBorders>
            <w:shd w:val="clear" w:color="auto" w:fill="auto"/>
            <w:vAlign w:val="center"/>
            <w:hideMark/>
          </w:tcPr>
          <w:p w14:paraId="5E18B6EA"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发行</w:t>
            </w:r>
          </w:p>
          <w:p w14:paraId="752E179B"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主体</w:t>
            </w:r>
          </w:p>
        </w:tc>
        <w:tc>
          <w:tcPr>
            <w:tcW w:w="755" w:type="dxa"/>
            <w:tcBorders>
              <w:top w:val="single" w:sz="4" w:space="0" w:color="auto"/>
              <w:left w:val="nil"/>
              <w:bottom w:val="single" w:sz="4" w:space="0" w:color="auto"/>
              <w:right w:val="single" w:sz="4" w:space="0" w:color="auto"/>
            </w:tcBorders>
            <w:shd w:val="clear" w:color="auto" w:fill="auto"/>
            <w:vAlign w:val="center"/>
            <w:hideMark/>
          </w:tcPr>
          <w:p w14:paraId="044C8508"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产品</w:t>
            </w:r>
          </w:p>
        </w:tc>
        <w:tc>
          <w:tcPr>
            <w:tcW w:w="1536" w:type="dxa"/>
            <w:tcBorders>
              <w:top w:val="single" w:sz="4" w:space="0" w:color="auto"/>
              <w:left w:val="nil"/>
              <w:bottom w:val="single" w:sz="4" w:space="0" w:color="auto"/>
              <w:right w:val="single" w:sz="4" w:space="0" w:color="auto"/>
            </w:tcBorders>
            <w:shd w:val="clear" w:color="auto" w:fill="auto"/>
            <w:vAlign w:val="center"/>
            <w:hideMark/>
          </w:tcPr>
          <w:p w14:paraId="069830CB"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产品性质</w:t>
            </w:r>
          </w:p>
        </w:tc>
        <w:tc>
          <w:tcPr>
            <w:tcW w:w="941" w:type="dxa"/>
            <w:tcBorders>
              <w:top w:val="single" w:sz="4" w:space="0" w:color="auto"/>
              <w:left w:val="nil"/>
              <w:bottom w:val="single" w:sz="4" w:space="0" w:color="auto"/>
              <w:right w:val="single" w:sz="4" w:space="0" w:color="auto"/>
            </w:tcBorders>
            <w:shd w:val="clear" w:color="auto" w:fill="auto"/>
            <w:vAlign w:val="center"/>
            <w:hideMark/>
          </w:tcPr>
          <w:p w14:paraId="179487A8"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理财金额（万元）</w:t>
            </w:r>
          </w:p>
        </w:tc>
        <w:tc>
          <w:tcPr>
            <w:tcW w:w="936" w:type="dxa"/>
            <w:tcBorders>
              <w:top w:val="single" w:sz="4" w:space="0" w:color="auto"/>
              <w:left w:val="nil"/>
              <w:bottom w:val="single" w:sz="4" w:space="0" w:color="auto"/>
              <w:right w:val="single" w:sz="4" w:space="0" w:color="auto"/>
            </w:tcBorders>
            <w:shd w:val="clear" w:color="auto" w:fill="auto"/>
            <w:vAlign w:val="center"/>
            <w:hideMark/>
          </w:tcPr>
          <w:p w14:paraId="3824FC71"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预计收益率</w:t>
            </w:r>
          </w:p>
        </w:tc>
        <w:tc>
          <w:tcPr>
            <w:tcW w:w="1291" w:type="dxa"/>
            <w:tcBorders>
              <w:top w:val="single" w:sz="4" w:space="0" w:color="auto"/>
              <w:left w:val="nil"/>
              <w:bottom w:val="single" w:sz="4" w:space="0" w:color="auto"/>
              <w:right w:val="single" w:sz="4" w:space="0" w:color="auto"/>
            </w:tcBorders>
            <w:shd w:val="clear" w:color="auto" w:fill="auto"/>
            <w:vAlign w:val="center"/>
            <w:hideMark/>
          </w:tcPr>
          <w:p w14:paraId="7DF54EAB"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购入日期</w:t>
            </w:r>
          </w:p>
        </w:tc>
        <w:tc>
          <w:tcPr>
            <w:tcW w:w="1216" w:type="dxa"/>
            <w:tcBorders>
              <w:top w:val="single" w:sz="4" w:space="0" w:color="auto"/>
              <w:left w:val="nil"/>
              <w:bottom w:val="single" w:sz="4" w:space="0" w:color="auto"/>
              <w:right w:val="single" w:sz="4" w:space="0" w:color="auto"/>
            </w:tcBorders>
            <w:shd w:val="clear" w:color="auto" w:fill="auto"/>
            <w:vAlign w:val="center"/>
            <w:hideMark/>
          </w:tcPr>
          <w:p w14:paraId="46D7EB3C"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到期日期</w:t>
            </w:r>
          </w:p>
        </w:tc>
        <w:tc>
          <w:tcPr>
            <w:tcW w:w="696" w:type="dxa"/>
            <w:tcBorders>
              <w:top w:val="single" w:sz="4" w:space="0" w:color="auto"/>
              <w:left w:val="nil"/>
              <w:bottom w:val="single" w:sz="4" w:space="0" w:color="auto"/>
              <w:right w:val="single" w:sz="4" w:space="0" w:color="auto"/>
            </w:tcBorders>
            <w:shd w:val="clear" w:color="auto" w:fill="auto"/>
            <w:vAlign w:val="center"/>
            <w:hideMark/>
          </w:tcPr>
          <w:p w14:paraId="6468330A"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天数</w:t>
            </w:r>
          </w:p>
        </w:tc>
      </w:tr>
      <w:tr w:rsidR="00BC1A62" w:rsidRPr="007C39A0" w14:paraId="40F962C1" w14:textId="77777777" w:rsidTr="00294D05">
        <w:trPr>
          <w:trHeight w:val="1588"/>
        </w:trPr>
        <w:tc>
          <w:tcPr>
            <w:tcW w:w="516" w:type="dxa"/>
            <w:tcBorders>
              <w:top w:val="nil"/>
              <w:left w:val="single" w:sz="4" w:space="0" w:color="auto"/>
              <w:bottom w:val="single" w:sz="4" w:space="0" w:color="auto"/>
              <w:right w:val="single" w:sz="4" w:space="0" w:color="auto"/>
            </w:tcBorders>
            <w:shd w:val="clear" w:color="auto" w:fill="auto"/>
            <w:vAlign w:val="center"/>
            <w:hideMark/>
          </w:tcPr>
          <w:p w14:paraId="6166EF1A" w14:textId="77777777" w:rsidR="00BC1A62" w:rsidRPr="007C39A0" w:rsidRDefault="00BC1A62" w:rsidP="00294D05">
            <w:pPr>
              <w:pStyle w:val="a8"/>
              <w:rPr>
                <w:rFonts w:cs="宋体"/>
                <w:color w:val="000000"/>
                <w:sz w:val="22"/>
                <w:szCs w:val="20"/>
              </w:rPr>
            </w:pPr>
            <w:r w:rsidRPr="007C39A0">
              <w:rPr>
                <w:rFonts w:cs="宋体" w:hint="eastAsia"/>
                <w:color w:val="000000"/>
                <w:sz w:val="22"/>
                <w:szCs w:val="20"/>
              </w:rPr>
              <w:t>1</w:t>
            </w:r>
          </w:p>
        </w:tc>
        <w:tc>
          <w:tcPr>
            <w:tcW w:w="868" w:type="dxa"/>
            <w:tcBorders>
              <w:top w:val="nil"/>
              <w:left w:val="nil"/>
              <w:bottom w:val="single" w:sz="4" w:space="0" w:color="auto"/>
              <w:right w:val="single" w:sz="4" w:space="0" w:color="auto"/>
            </w:tcBorders>
            <w:shd w:val="clear" w:color="auto" w:fill="auto"/>
            <w:vAlign w:val="center"/>
            <w:hideMark/>
          </w:tcPr>
          <w:p w14:paraId="44EF9B0D"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招商银行</w:t>
            </w:r>
          </w:p>
        </w:tc>
        <w:tc>
          <w:tcPr>
            <w:tcW w:w="755" w:type="dxa"/>
            <w:tcBorders>
              <w:top w:val="nil"/>
              <w:left w:val="nil"/>
              <w:bottom w:val="single" w:sz="4" w:space="0" w:color="auto"/>
              <w:right w:val="single" w:sz="4" w:space="0" w:color="auto"/>
            </w:tcBorders>
            <w:shd w:val="clear" w:color="auto" w:fill="auto"/>
            <w:vAlign w:val="center"/>
            <w:hideMark/>
          </w:tcPr>
          <w:p w14:paraId="371C1D10"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结构性存款</w:t>
            </w:r>
          </w:p>
        </w:tc>
        <w:tc>
          <w:tcPr>
            <w:tcW w:w="1536" w:type="dxa"/>
            <w:tcBorders>
              <w:top w:val="nil"/>
              <w:left w:val="nil"/>
              <w:bottom w:val="single" w:sz="4" w:space="0" w:color="auto"/>
              <w:right w:val="single" w:sz="4" w:space="0" w:color="auto"/>
            </w:tcBorders>
            <w:shd w:val="clear" w:color="auto" w:fill="auto"/>
            <w:vAlign w:val="center"/>
            <w:hideMark/>
          </w:tcPr>
          <w:p w14:paraId="4C93B266" w14:textId="77777777" w:rsidR="00BC1A62" w:rsidRPr="007C39A0" w:rsidRDefault="00BC1A62" w:rsidP="00294D05">
            <w:pPr>
              <w:pStyle w:val="a8"/>
              <w:ind w:left="0"/>
              <w:jc w:val="center"/>
              <w:rPr>
                <w:rFonts w:cs="宋体"/>
                <w:color w:val="000000"/>
                <w:sz w:val="22"/>
                <w:szCs w:val="20"/>
                <w:lang w:eastAsia="zh-CN"/>
              </w:rPr>
            </w:pPr>
            <w:r w:rsidRPr="007C39A0">
              <w:rPr>
                <w:rFonts w:cs="宋体" w:hint="eastAsia"/>
                <w:color w:val="000000"/>
                <w:sz w:val="22"/>
                <w:szCs w:val="20"/>
                <w:lang w:eastAsia="zh-CN"/>
              </w:rPr>
              <w:t>招商银行点金系列看涨三层区间31天结构性存款（产品代码：NCS01019）</w:t>
            </w:r>
          </w:p>
        </w:tc>
        <w:tc>
          <w:tcPr>
            <w:tcW w:w="941" w:type="dxa"/>
            <w:tcBorders>
              <w:top w:val="nil"/>
              <w:left w:val="nil"/>
              <w:bottom w:val="single" w:sz="4" w:space="0" w:color="auto"/>
              <w:right w:val="single" w:sz="4" w:space="0" w:color="auto"/>
            </w:tcBorders>
            <w:shd w:val="clear" w:color="auto" w:fill="auto"/>
            <w:vAlign w:val="center"/>
            <w:hideMark/>
          </w:tcPr>
          <w:p w14:paraId="592FC6C0" w14:textId="77777777" w:rsidR="00BC1A62" w:rsidRPr="007C39A0" w:rsidRDefault="00BC1A62" w:rsidP="00294D05">
            <w:pPr>
              <w:pStyle w:val="a8"/>
              <w:jc w:val="center"/>
              <w:rPr>
                <w:rFonts w:cs="宋体"/>
                <w:color w:val="000000"/>
                <w:sz w:val="22"/>
                <w:szCs w:val="20"/>
              </w:rPr>
            </w:pPr>
            <w:r w:rsidRPr="007C39A0">
              <w:rPr>
                <w:rFonts w:cs="宋体" w:hint="eastAsia"/>
                <w:color w:val="000000"/>
                <w:sz w:val="22"/>
                <w:szCs w:val="20"/>
              </w:rPr>
              <w:t>2000</w:t>
            </w:r>
          </w:p>
        </w:tc>
        <w:tc>
          <w:tcPr>
            <w:tcW w:w="936" w:type="dxa"/>
            <w:tcBorders>
              <w:top w:val="nil"/>
              <w:left w:val="nil"/>
              <w:bottom w:val="single" w:sz="4" w:space="0" w:color="auto"/>
              <w:right w:val="single" w:sz="4" w:space="0" w:color="auto"/>
            </w:tcBorders>
            <w:shd w:val="clear" w:color="auto" w:fill="auto"/>
            <w:vAlign w:val="center"/>
            <w:hideMark/>
          </w:tcPr>
          <w:p w14:paraId="18E88978" w14:textId="77777777" w:rsidR="00BC1A62" w:rsidRPr="007C39A0" w:rsidRDefault="00BC1A62" w:rsidP="00294D05">
            <w:pPr>
              <w:pStyle w:val="a8"/>
              <w:rPr>
                <w:rFonts w:cs="宋体"/>
                <w:color w:val="000000"/>
                <w:sz w:val="22"/>
                <w:szCs w:val="20"/>
              </w:rPr>
            </w:pPr>
            <w:r w:rsidRPr="007C39A0">
              <w:rPr>
                <w:rFonts w:cs="宋体" w:hint="eastAsia"/>
                <w:color w:val="000000"/>
                <w:sz w:val="22"/>
                <w:szCs w:val="20"/>
              </w:rPr>
              <w:t>2.70%</w:t>
            </w:r>
          </w:p>
        </w:tc>
        <w:tc>
          <w:tcPr>
            <w:tcW w:w="1291" w:type="dxa"/>
            <w:tcBorders>
              <w:top w:val="nil"/>
              <w:left w:val="nil"/>
              <w:bottom w:val="single" w:sz="4" w:space="0" w:color="auto"/>
              <w:right w:val="single" w:sz="4" w:space="0" w:color="auto"/>
            </w:tcBorders>
            <w:shd w:val="clear" w:color="auto" w:fill="auto"/>
            <w:vAlign w:val="center"/>
            <w:hideMark/>
          </w:tcPr>
          <w:p w14:paraId="2BEE92A4"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2023-1-6</w:t>
            </w:r>
          </w:p>
        </w:tc>
        <w:tc>
          <w:tcPr>
            <w:tcW w:w="1216" w:type="dxa"/>
            <w:tcBorders>
              <w:top w:val="nil"/>
              <w:left w:val="nil"/>
              <w:bottom w:val="single" w:sz="4" w:space="0" w:color="auto"/>
              <w:right w:val="single" w:sz="4" w:space="0" w:color="auto"/>
            </w:tcBorders>
            <w:shd w:val="clear" w:color="auto" w:fill="auto"/>
            <w:vAlign w:val="center"/>
            <w:hideMark/>
          </w:tcPr>
          <w:p w14:paraId="7A7C7371"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2023-2-9</w:t>
            </w:r>
          </w:p>
        </w:tc>
        <w:tc>
          <w:tcPr>
            <w:tcW w:w="696" w:type="dxa"/>
            <w:tcBorders>
              <w:top w:val="nil"/>
              <w:left w:val="nil"/>
              <w:bottom w:val="single" w:sz="4" w:space="0" w:color="auto"/>
              <w:right w:val="single" w:sz="4" w:space="0" w:color="auto"/>
            </w:tcBorders>
            <w:shd w:val="clear" w:color="auto" w:fill="auto"/>
            <w:vAlign w:val="center"/>
            <w:hideMark/>
          </w:tcPr>
          <w:p w14:paraId="1365BC66" w14:textId="77777777" w:rsidR="00BC1A62" w:rsidRPr="007C39A0" w:rsidRDefault="00BC1A62" w:rsidP="00294D05">
            <w:pPr>
              <w:pStyle w:val="a8"/>
              <w:rPr>
                <w:rFonts w:cs="宋体"/>
                <w:color w:val="000000"/>
                <w:sz w:val="22"/>
                <w:szCs w:val="20"/>
              </w:rPr>
            </w:pPr>
            <w:r w:rsidRPr="007C39A0">
              <w:rPr>
                <w:rFonts w:cs="宋体" w:hint="eastAsia"/>
                <w:color w:val="000000"/>
                <w:sz w:val="22"/>
                <w:szCs w:val="20"/>
              </w:rPr>
              <w:t>31</w:t>
            </w:r>
          </w:p>
        </w:tc>
      </w:tr>
      <w:tr w:rsidR="00BC1A62" w:rsidRPr="007C39A0" w14:paraId="79D85313" w14:textId="77777777" w:rsidTr="00294D05">
        <w:trPr>
          <w:trHeight w:val="1849"/>
        </w:trPr>
        <w:tc>
          <w:tcPr>
            <w:tcW w:w="516" w:type="dxa"/>
            <w:tcBorders>
              <w:top w:val="nil"/>
              <w:left w:val="single" w:sz="4" w:space="0" w:color="auto"/>
              <w:bottom w:val="single" w:sz="4" w:space="0" w:color="auto"/>
              <w:right w:val="single" w:sz="4" w:space="0" w:color="auto"/>
            </w:tcBorders>
            <w:shd w:val="clear" w:color="auto" w:fill="auto"/>
            <w:vAlign w:val="center"/>
            <w:hideMark/>
          </w:tcPr>
          <w:p w14:paraId="3A4E6DD1" w14:textId="77777777" w:rsidR="00BC1A62" w:rsidRPr="007C39A0" w:rsidRDefault="00BC1A62" w:rsidP="00294D05">
            <w:pPr>
              <w:pStyle w:val="a8"/>
              <w:rPr>
                <w:rFonts w:cs="宋体"/>
                <w:color w:val="000000"/>
                <w:sz w:val="22"/>
                <w:szCs w:val="20"/>
              </w:rPr>
            </w:pPr>
            <w:r w:rsidRPr="007C39A0">
              <w:rPr>
                <w:rFonts w:cs="宋体" w:hint="eastAsia"/>
                <w:color w:val="000000"/>
                <w:sz w:val="22"/>
                <w:szCs w:val="20"/>
              </w:rPr>
              <w:t>2</w:t>
            </w:r>
          </w:p>
        </w:tc>
        <w:tc>
          <w:tcPr>
            <w:tcW w:w="868" w:type="dxa"/>
            <w:tcBorders>
              <w:top w:val="nil"/>
              <w:left w:val="nil"/>
              <w:bottom w:val="single" w:sz="4" w:space="0" w:color="auto"/>
              <w:right w:val="single" w:sz="4" w:space="0" w:color="auto"/>
            </w:tcBorders>
            <w:shd w:val="clear" w:color="auto" w:fill="auto"/>
            <w:vAlign w:val="center"/>
            <w:hideMark/>
          </w:tcPr>
          <w:p w14:paraId="6DD7AD62"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招商银行</w:t>
            </w:r>
          </w:p>
        </w:tc>
        <w:tc>
          <w:tcPr>
            <w:tcW w:w="755" w:type="dxa"/>
            <w:tcBorders>
              <w:top w:val="nil"/>
              <w:left w:val="nil"/>
              <w:bottom w:val="single" w:sz="4" w:space="0" w:color="auto"/>
              <w:right w:val="single" w:sz="4" w:space="0" w:color="auto"/>
            </w:tcBorders>
            <w:shd w:val="clear" w:color="auto" w:fill="auto"/>
            <w:vAlign w:val="center"/>
            <w:hideMark/>
          </w:tcPr>
          <w:p w14:paraId="06238D3A"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结构性存款</w:t>
            </w:r>
          </w:p>
        </w:tc>
        <w:tc>
          <w:tcPr>
            <w:tcW w:w="1536" w:type="dxa"/>
            <w:tcBorders>
              <w:top w:val="nil"/>
              <w:left w:val="nil"/>
              <w:bottom w:val="single" w:sz="4" w:space="0" w:color="auto"/>
              <w:right w:val="single" w:sz="4" w:space="0" w:color="auto"/>
            </w:tcBorders>
            <w:shd w:val="clear" w:color="auto" w:fill="auto"/>
            <w:vAlign w:val="center"/>
            <w:hideMark/>
          </w:tcPr>
          <w:p w14:paraId="1CEDB108" w14:textId="77777777" w:rsidR="00BC1A62" w:rsidRPr="007C39A0" w:rsidRDefault="00BC1A62" w:rsidP="00294D05">
            <w:pPr>
              <w:pStyle w:val="a8"/>
              <w:ind w:left="0"/>
              <w:jc w:val="center"/>
              <w:rPr>
                <w:rFonts w:cs="宋体"/>
                <w:color w:val="000000"/>
                <w:sz w:val="22"/>
                <w:szCs w:val="20"/>
                <w:lang w:eastAsia="zh-CN"/>
              </w:rPr>
            </w:pPr>
            <w:r w:rsidRPr="007C39A0">
              <w:rPr>
                <w:rFonts w:cs="宋体" w:hint="eastAsia"/>
                <w:color w:val="000000"/>
                <w:sz w:val="22"/>
                <w:szCs w:val="20"/>
                <w:lang w:eastAsia="zh-CN"/>
              </w:rPr>
              <w:t>招商银行点金系列看涨三层区间91天结构性存款（产品代码：NCS01020）</w:t>
            </w:r>
          </w:p>
        </w:tc>
        <w:tc>
          <w:tcPr>
            <w:tcW w:w="941" w:type="dxa"/>
            <w:tcBorders>
              <w:top w:val="nil"/>
              <w:left w:val="nil"/>
              <w:bottom w:val="single" w:sz="4" w:space="0" w:color="auto"/>
              <w:right w:val="single" w:sz="4" w:space="0" w:color="auto"/>
            </w:tcBorders>
            <w:shd w:val="clear" w:color="auto" w:fill="auto"/>
            <w:vAlign w:val="center"/>
            <w:hideMark/>
          </w:tcPr>
          <w:p w14:paraId="65AD33E8" w14:textId="77777777" w:rsidR="00BC1A62" w:rsidRPr="007C39A0" w:rsidRDefault="00BC1A62" w:rsidP="00294D05">
            <w:pPr>
              <w:pStyle w:val="a8"/>
              <w:jc w:val="center"/>
              <w:rPr>
                <w:rFonts w:cs="宋体"/>
                <w:color w:val="000000"/>
                <w:sz w:val="22"/>
                <w:szCs w:val="20"/>
              </w:rPr>
            </w:pPr>
            <w:r w:rsidRPr="007C39A0">
              <w:rPr>
                <w:rFonts w:cs="宋体" w:hint="eastAsia"/>
                <w:color w:val="000000"/>
                <w:sz w:val="22"/>
                <w:szCs w:val="20"/>
              </w:rPr>
              <w:t>4000</w:t>
            </w:r>
          </w:p>
        </w:tc>
        <w:tc>
          <w:tcPr>
            <w:tcW w:w="936" w:type="dxa"/>
            <w:tcBorders>
              <w:top w:val="nil"/>
              <w:left w:val="nil"/>
              <w:bottom w:val="single" w:sz="4" w:space="0" w:color="auto"/>
              <w:right w:val="single" w:sz="4" w:space="0" w:color="auto"/>
            </w:tcBorders>
            <w:shd w:val="clear" w:color="auto" w:fill="auto"/>
            <w:vAlign w:val="center"/>
            <w:hideMark/>
          </w:tcPr>
          <w:p w14:paraId="40AD275E" w14:textId="77777777" w:rsidR="00BC1A62" w:rsidRPr="007C39A0" w:rsidRDefault="00BC1A62" w:rsidP="00294D05">
            <w:pPr>
              <w:pStyle w:val="a8"/>
              <w:rPr>
                <w:rFonts w:cs="宋体"/>
                <w:color w:val="000000"/>
                <w:sz w:val="22"/>
                <w:szCs w:val="20"/>
              </w:rPr>
            </w:pPr>
            <w:r w:rsidRPr="007C39A0">
              <w:rPr>
                <w:rFonts w:cs="宋体" w:hint="eastAsia"/>
                <w:color w:val="000000"/>
                <w:sz w:val="22"/>
                <w:szCs w:val="20"/>
              </w:rPr>
              <w:t>2.80%</w:t>
            </w:r>
          </w:p>
        </w:tc>
        <w:tc>
          <w:tcPr>
            <w:tcW w:w="1291" w:type="dxa"/>
            <w:tcBorders>
              <w:top w:val="nil"/>
              <w:left w:val="nil"/>
              <w:bottom w:val="single" w:sz="4" w:space="0" w:color="auto"/>
              <w:right w:val="single" w:sz="4" w:space="0" w:color="auto"/>
            </w:tcBorders>
            <w:shd w:val="clear" w:color="auto" w:fill="auto"/>
            <w:vAlign w:val="center"/>
            <w:hideMark/>
          </w:tcPr>
          <w:p w14:paraId="4DCC240E"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2023-1-6</w:t>
            </w:r>
          </w:p>
        </w:tc>
        <w:tc>
          <w:tcPr>
            <w:tcW w:w="1216" w:type="dxa"/>
            <w:tcBorders>
              <w:top w:val="nil"/>
              <w:left w:val="nil"/>
              <w:bottom w:val="single" w:sz="4" w:space="0" w:color="auto"/>
              <w:right w:val="single" w:sz="4" w:space="0" w:color="auto"/>
            </w:tcBorders>
            <w:shd w:val="clear" w:color="auto" w:fill="auto"/>
            <w:vAlign w:val="center"/>
            <w:hideMark/>
          </w:tcPr>
          <w:p w14:paraId="2B8FFDEF" w14:textId="77777777" w:rsidR="00BC1A62" w:rsidRPr="007C39A0" w:rsidRDefault="00BC1A62" w:rsidP="00294D05">
            <w:pPr>
              <w:pStyle w:val="a8"/>
              <w:ind w:left="0"/>
              <w:rPr>
                <w:rFonts w:cs="宋体"/>
                <w:color w:val="000000"/>
                <w:sz w:val="22"/>
                <w:szCs w:val="20"/>
              </w:rPr>
            </w:pPr>
            <w:r w:rsidRPr="007C39A0">
              <w:rPr>
                <w:rFonts w:cs="宋体" w:hint="eastAsia"/>
                <w:color w:val="000000"/>
                <w:sz w:val="22"/>
                <w:szCs w:val="20"/>
              </w:rPr>
              <w:t>2023-4-10</w:t>
            </w:r>
          </w:p>
        </w:tc>
        <w:tc>
          <w:tcPr>
            <w:tcW w:w="696" w:type="dxa"/>
            <w:tcBorders>
              <w:top w:val="nil"/>
              <w:left w:val="nil"/>
              <w:bottom w:val="single" w:sz="4" w:space="0" w:color="auto"/>
              <w:right w:val="single" w:sz="4" w:space="0" w:color="auto"/>
            </w:tcBorders>
            <w:shd w:val="clear" w:color="auto" w:fill="auto"/>
            <w:vAlign w:val="center"/>
            <w:hideMark/>
          </w:tcPr>
          <w:p w14:paraId="4E0D934A" w14:textId="77777777" w:rsidR="00BC1A62" w:rsidRPr="007C39A0" w:rsidRDefault="00BC1A62" w:rsidP="00294D05">
            <w:pPr>
              <w:pStyle w:val="a8"/>
              <w:rPr>
                <w:rFonts w:cs="宋体"/>
                <w:color w:val="000000"/>
                <w:sz w:val="22"/>
                <w:szCs w:val="20"/>
              </w:rPr>
            </w:pPr>
            <w:r w:rsidRPr="007C39A0">
              <w:rPr>
                <w:rFonts w:cs="宋体" w:hint="eastAsia"/>
                <w:color w:val="000000"/>
                <w:sz w:val="22"/>
                <w:szCs w:val="20"/>
              </w:rPr>
              <w:t>91</w:t>
            </w:r>
          </w:p>
        </w:tc>
      </w:tr>
      <w:tr w:rsidR="00BC1A62" w:rsidRPr="007C39A0" w14:paraId="5321BF00" w14:textId="77777777" w:rsidTr="00294D05">
        <w:trPr>
          <w:trHeight w:val="945"/>
        </w:trPr>
        <w:tc>
          <w:tcPr>
            <w:tcW w:w="516" w:type="dxa"/>
            <w:tcBorders>
              <w:top w:val="nil"/>
              <w:left w:val="single" w:sz="4" w:space="0" w:color="auto"/>
              <w:bottom w:val="single" w:sz="4" w:space="0" w:color="auto"/>
              <w:right w:val="single" w:sz="4" w:space="0" w:color="auto"/>
            </w:tcBorders>
            <w:shd w:val="clear" w:color="auto" w:fill="auto"/>
            <w:vAlign w:val="center"/>
            <w:hideMark/>
          </w:tcPr>
          <w:p w14:paraId="7AF7EDE5" w14:textId="77777777" w:rsidR="00BC1A62" w:rsidRPr="007C39A0" w:rsidRDefault="00BC1A62" w:rsidP="00294D05">
            <w:pPr>
              <w:pStyle w:val="a8"/>
              <w:rPr>
                <w:rFonts w:cs="宋体"/>
                <w:color w:val="000000"/>
                <w:sz w:val="22"/>
                <w:szCs w:val="20"/>
              </w:rPr>
            </w:pPr>
            <w:r w:rsidRPr="007C39A0">
              <w:rPr>
                <w:rFonts w:cs="宋体" w:hint="eastAsia"/>
                <w:color w:val="000000"/>
                <w:sz w:val="22"/>
                <w:szCs w:val="20"/>
              </w:rPr>
              <w:t>3</w:t>
            </w:r>
          </w:p>
        </w:tc>
        <w:tc>
          <w:tcPr>
            <w:tcW w:w="868" w:type="dxa"/>
            <w:tcBorders>
              <w:top w:val="nil"/>
              <w:left w:val="nil"/>
              <w:bottom w:val="single" w:sz="4" w:space="0" w:color="auto"/>
              <w:right w:val="single" w:sz="4" w:space="0" w:color="auto"/>
            </w:tcBorders>
            <w:shd w:val="clear" w:color="auto" w:fill="auto"/>
            <w:vAlign w:val="center"/>
            <w:hideMark/>
          </w:tcPr>
          <w:p w14:paraId="146E5CE9"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兴业银行</w:t>
            </w:r>
          </w:p>
        </w:tc>
        <w:tc>
          <w:tcPr>
            <w:tcW w:w="755" w:type="dxa"/>
            <w:tcBorders>
              <w:top w:val="nil"/>
              <w:left w:val="nil"/>
              <w:bottom w:val="single" w:sz="4" w:space="0" w:color="auto"/>
              <w:right w:val="single" w:sz="4" w:space="0" w:color="auto"/>
            </w:tcBorders>
            <w:shd w:val="clear" w:color="auto" w:fill="auto"/>
            <w:vAlign w:val="center"/>
            <w:hideMark/>
          </w:tcPr>
          <w:p w14:paraId="68EF0DB7"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结构性存款</w:t>
            </w:r>
          </w:p>
        </w:tc>
        <w:tc>
          <w:tcPr>
            <w:tcW w:w="1536" w:type="dxa"/>
            <w:tcBorders>
              <w:top w:val="nil"/>
              <w:left w:val="nil"/>
              <w:bottom w:val="single" w:sz="4" w:space="0" w:color="auto"/>
              <w:right w:val="single" w:sz="4" w:space="0" w:color="auto"/>
            </w:tcBorders>
            <w:shd w:val="clear" w:color="auto" w:fill="auto"/>
            <w:vAlign w:val="center"/>
            <w:hideMark/>
          </w:tcPr>
          <w:p w14:paraId="35EE12BA"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保本浮动收益型</w:t>
            </w:r>
          </w:p>
        </w:tc>
        <w:tc>
          <w:tcPr>
            <w:tcW w:w="941" w:type="dxa"/>
            <w:tcBorders>
              <w:top w:val="nil"/>
              <w:left w:val="nil"/>
              <w:bottom w:val="single" w:sz="4" w:space="0" w:color="auto"/>
              <w:right w:val="single" w:sz="4" w:space="0" w:color="auto"/>
            </w:tcBorders>
            <w:shd w:val="clear" w:color="auto" w:fill="auto"/>
            <w:vAlign w:val="center"/>
            <w:hideMark/>
          </w:tcPr>
          <w:p w14:paraId="09513CF8" w14:textId="77777777" w:rsidR="00BC1A62" w:rsidRPr="007C39A0" w:rsidRDefault="00BC1A62" w:rsidP="00294D05">
            <w:pPr>
              <w:pStyle w:val="a8"/>
              <w:jc w:val="center"/>
              <w:rPr>
                <w:rFonts w:cs="宋体"/>
                <w:color w:val="000000"/>
                <w:sz w:val="22"/>
                <w:szCs w:val="20"/>
              </w:rPr>
            </w:pPr>
            <w:r w:rsidRPr="007C39A0">
              <w:rPr>
                <w:rFonts w:cs="宋体" w:hint="eastAsia"/>
                <w:color w:val="000000"/>
                <w:sz w:val="22"/>
                <w:szCs w:val="20"/>
              </w:rPr>
              <w:t>10000</w:t>
            </w:r>
          </w:p>
        </w:tc>
        <w:tc>
          <w:tcPr>
            <w:tcW w:w="936" w:type="dxa"/>
            <w:tcBorders>
              <w:top w:val="nil"/>
              <w:left w:val="nil"/>
              <w:bottom w:val="single" w:sz="4" w:space="0" w:color="auto"/>
              <w:right w:val="single" w:sz="4" w:space="0" w:color="auto"/>
            </w:tcBorders>
            <w:shd w:val="clear" w:color="auto" w:fill="auto"/>
            <w:vAlign w:val="center"/>
            <w:hideMark/>
          </w:tcPr>
          <w:p w14:paraId="0C9CAFF1" w14:textId="77777777" w:rsidR="00BC1A62" w:rsidRPr="007C39A0" w:rsidRDefault="00BC1A62" w:rsidP="00294D05">
            <w:pPr>
              <w:pStyle w:val="a8"/>
              <w:jc w:val="center"/>
              <w:rPr>
                <w:rFonts w:cs="宋体"/>
                <w:color w:val="000000"/>
                <w:sz w:val="22"/>
                <w:szCs w:val="20"/>
              </w:rPr>
            </w:pPr>
            <w:r w:rsidRPr="007C39A0">
              <w:rPr>
                <w:rFonts w:cs="宋体" w:hint="eastAsia"/>
                <w:color w:val="000000"/>
                <w:sz w:val="22"/>
                <w:szCs w:val="20"/>
              </w:rPr>
              <w:t>2.97%</w:t>
            </w:r>
          </w:p>
        </w:tc>
        <w:tc>
          <w:tcPr>
            <w:tcW w:w="1291" w:type="dxa"/>
            <w:tcBorders>
              <w:top w:val="nil"/>
              <w:left w:val="nil"/>
              <w:bottom w:val="single" w:sz="4" w:space="0" w:color="auto"/>
              <w:right w:val="single" w:sz="4" w:space="0" w:color="auto"/>
            </w:tcBorders>
            <w:shd w:val="clear" w:color="auto" w:fill="auto"/>
            <w:vAlign w:val="center"/>
            <w:hideMark/>
          </w:tcPr>
          <w:p w14:paraId="72166CB7"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2023-1-6</w:t>
            </w:r>
          </w:p>
        </w:tc>
        <w:tc>
          <w:tcPr>
            <w:tcW w:w="1216" w:type="dxa"/>
            <w:tcBorders>
              <w:top w:val="nil"/>
              <w:left w:val="nil"/>
              <w:bottom w:val="single" w:sz="4" w:space="0" w:color="auto"/>
              <w:right w:val="single" w:sz="4" w:space="0" w:color="auto"/>
            </w:tcBorders>
            <w:shd w:val="clear" w:color="auto" w:fill="auto"/>
            <w:vAlign w:val="center"/>
            <w:hideMark/>
          </w:tcPr>
          <w:p w14:paraId="6155A336"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2023-7-10</w:t>
            </w:r>
          </w:p>
        </w:tc>
        <w:tc>
          <w:tcPr>
            <w:tcW w:w="696" w:type="dxa"/>
            <w:tcBorders>
              <w:top w:val="nil"/>
              <w:left w:val="nil"/>
              <w:bottom w:val="single" w:sz="4" w:space="0" w:color="auto"/>
              <w:right w:val="single" w:sz="4" w:space="0" w:color="auto"/>
            </w:tcBorders>
            <w:shd w:val="clear" w:color="auto" w:fill="auto"/>
            <w:vAlign w:val="center"/>
            <w:hideMark/>
          </w:tcPr>
          <w:p w14:paraId="2D633CD7" w14:textId="77777777" w:rsidR="00BC1A62" w:rsidRPr="007C39A0" w:rsidRDefault="00BC1A62" w:rsidP="00294D05">
            <w:pPr>
              <w:pStyle w:val="a8"/>
              <w:rPr>
                <w:rFonts w:cs="宋体"/>
                <w:color w:val="000000"/>
                <w:sz w:val="22"/>
                <w:szCs w:val="20"/>
              </w:rPr>
            </w:pPr>
            <w:r w:rsidRPr="007C39A0">
              <w:rPr>
                <w:rFonts w:cs="宋体" w:hint="eastAsia"/>
                <w:color w:val="000000"/>
                <w:sz w:val="22"/>
                <w:szCs w:val="20"/>
              </w:rPr>
              <w:t>182</w:t>
            </w:r>
          </w:p>
        </w:tc>
      </w:tr>
      <w:tr w:rsidR="00BC1A62" w:rsidRPr="007C39A0" w14:paraId="230D71A3" w14:textId="77777777" w:rsidTr="00294D05">
        <w:trPr>
          <w:trHeight w:val="274"/>
        </w:trPr>
        <w:tc>
          <w:tcPr>
            <w:tcW w:w="516" w:type="dxa"/>
            <w:tcBorders>
              <w:top w:val="nil"/>
              <w:left w:val="single" w:sz="4" w:space="0" w:color="auto"/>
              <w:bottom w:val="single" w:sz="4" w:space="0" w:color="auto"/>
              <w:right w:val="single" w:sz="4" w:space="0" w:color="auto"/>
            </w:tcBorders>
            <w:shd w:val="clear" w:color="auto" w:fill="auto"/>
            <w:vAlign w:val="center"/>
            <w:hideMark/>
          </w:tcPr>
          <w:p w14:paraId="50A933FF" w14:textId="77777777" w:rsidR="00BC1A62" w:rsidRPr="007C39A0" w:rsidRDefault="00BC1A62" w:rsidP="00294D05">
            <w:pPr>
              <w:pStyle w:val="a8"/>
              <w:rPr>
                <w:rFonts w:cs="宋体"/>
                <w:color w:val="000000"/>
                <w:sz w:val="22"/>
                <w:szCs w:val="20"/>
              </w:rPr>
            </w:pPr>
            <w:r w:rsidRPr="007C39A0">
              <w:rPr>
                <w:rFonts w:cs="宋体" w:hint="eastAsia"/>
                <w:color w:val="000000"/>
                <w:sz w:val="22"/>
                <w:szCs w:val="20"/>
              </w:rPr>
              <w:t>4</w:t>
            </w:r>
          </w:p>
        </w:tc>
        <w:tc>
          <w:tcPr>
            <w:tcW w:w="868" w:type="dxa"/>
            <w:tcBorders>
              <w:top w:val="nil"/>
              <w:left w:val="nil"/>
              <w:bottom w:val="single" w:sz="4" w:space="0" w:color="auto"/>
              <w:right w:val="single" w:sz="4" w:space="0" w:color="auto"/>
            </w:tcBorders>
            <w:shd w:val="clear" w:color="auto" w:fill="auto"/>
            <w:vAlign w:val="center"/>
            <w:hideMark/>
          </w:tcPr>
          <w:p w14:paraId="063CA50B"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交通银行</w:t>
            </w:r>
          </w:p>
        </w:tc>
        <w:tc>
          <w:tcPr>
            <w:tcW w:w="755" w:type="dxa"/>
            <w:tcBorders>
              <w:top w:val="nil"/>
              <w:left w:val="nil"/>
              <w:bottom w:val="single" w:sz="4" w:space="0" w:color="auto"/>
              <w:right w:val="single" w:sz="4" w:space="0" w:color="auto"/>
            </w:tcBorders>
            <w:shd w:val="clear" w:color="auto" w:fill="auto"/>
            <w:vAlign w:val="center"/>
            <w:hideMark/>
          </w:tcPr>
          <w:p w14:paraId="5F943D95"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定期型结构性存款</w:t>
            </w:r>
          </w:p>
        </w:tc>
        <w:tc>
          <w:tcPr>
            <w:tcW w:w="1536" w:type="dxa"/>
            <w:tcBorders>
              <w:top w:val="nil"/>
              <w:left w:val="nil"/>
              <w:bottom w:val="single" w:sz="4" w:space="0" w:color="auto"/>
              <w:right w:val="single" w:sz="4" w:space="0" w:color="auto"/>
            </w:tcBorders>
            <w:shd w:val="clear" w:color="auto" w:fill="auto"/>
            <w:vAlign w:val="center"/>
            <w:hideMark/>
          </w:tcPr>
          <w:p w14:paraId="550B6BDF"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保本浮动收益型</w:t>
            </w:r>
          </w:p>
        </w:tc>
        <w:tc>
          <w:tcPr>
            <w:tcW w:w="941" w:type="dxa"/>
            <w:tcBorders>
              <w:top w:val="nil"/>
              <w:left w:val="nil"/>
              <w:bottom w:val="single" w:sz="4" w:space="0" w:color="auto"/>
              <w:right w:val="single" w:sz="4" w:space="0" w:color="auto"/>
            </w:tcBorders>
            <w:shd w:val="clear" w:color="auto" w:fill="auto"/>
            <w:vAlign w:val="center"/>
            <w:hideMark/>
          </w:tcPr>
          <w:p w14:paraId="323635AF" w14:textId="77777777" w:rsidR="00BC1A62" w:rsidRPr="007C39A0" w:rsidRDefault="00BC1A62" w:rsidP="00294D05">
            <w:pPr>
              <w:pStyle w:val="a8"/>
              <w:jc w:val="center"/>
              <w:rPr>
                <w:rFonts w:cs="宋体"/>
                <w:color w:val="000000"/>
                <w:sz w:val="22"/>
                <w:szCs w:val="20"/>
              </w:rPr>
            </w:pPr>
            <w:r w:rsidRPr="007C39A0">
              <w:rPr>
                <w:rFonts w:cs="宋体" w:hint="eastAsia"/>
                <w:color w:val="000000"/>
                <w:sz w:val="22"/>
                <w:szCs w:val="20"/>
              </w:rPr>
              <w:t>5000</w:t>
            </w:r>
          </w:p>
        </w:tc>
        <w:tc>
          <w:tcPr>
            <w:tcW w:w="936" w:type="dxa"/>
            <w:tcBorders>
              <w:top w:val="nil"/>
              <w:left w:val="nil"/>
              <w:bottom w:val="single" w:sz="4" w:space="0" w:color="auto"/>
              <w:right w:val="single" w:sz="4" w:space="0" w:color="auto"/>
            </w:tcBorders>
            <w:shd w:val="clear" w:color="auto" w:fill="auto"/>
            <w:vAlign w:val="center"/>
            <w:hideMark/>
          </w:tcPr>
          <w:p w14:paraId="64B65516" w14:textId="77777777" w:rsidR="00BC1A62" w:rsidRPr="007C39A0" w:rsidRDefault="00BC1A62" w:rsidP="00294D05">
            <w:pPr>
              <w:pStyle w:val="a8"/>
              <w:jc w:val="center"/>
              <w:rPr>
                <w:rFonts w:cs="宋体"/>
                <w:color w:val="000000"/>
                <w:sz w:val="22"/>
                <w:szCs w:val="20"/>
              </w:rPr>
            </w:pPr>
            <w:r w:rsidRPr="007C39A0">
              <w:rPr>
                <w:rFonts w:cs="宋体" w:hint="eastAsia"/>
                <w:color w:val="000000"/>
                <w:sz w:val="22"/>
                <w:szCs w:val="20"/>
              </w:rPr>
              <w:t>2.80%</w:t>
            </w:r>
          </w:p>
        </w:tc>
        <w:tc>
          <w:tcPr>
            <w:tcW w:w="1291" w:type="dxa"/>
            <w:tcBorders>
              <w:top w:val="nil"/>
              <w:left w:val="nil"/>
              <w:bottom w:val="single" w:sz="4" w:space="0" w:color="auto"/>
              <w:right w:val="single" w:sz="4" w:space="0" w:color="auto"/>
            </w:tcBorders>
            <w:shd w:val="clear" w:color="auto" w:fill="auto"/>
            <w:vAlign w:val="center"/>
            <w:hideMark/>
          </w:tcPr>
          <w:p w14:paraId="41EB1704" w14:textId="77777777" w:rsidR="00BC1A62" w:rsidRPr="007C39A0" w:rsidRDefault="00BC1A62" w:rsidP="00294D05">
            <w:pPr>
              <w:pStyle w:val="a8"/>
              <w:ind w:left="0"/>
              <w:rPr>
                <w:rFonts w:cs="宋体"/>
                <w:color w:val="000000"/>
                <w:sz w:val="22"/>
                <w:szCs w:val="20"/>
              </w:rPr>
            </w:pPr>
            <w:r w:rsidRPr="007C39A0">
              <w:rPr>
                <w:rFonts w:cs="宋体" w:hint="eastAsia"/>
                <w:color w:val="000000"/>
                <w:sz w:val="22"/>
                <w:szCs w:val="20"/>
              </w:rPr>
              <w:t>2023-1-12</w:t>
            </w:r>
          </w:p>
        </w:tc>
        <w:tc>
          <w:tcPr>
            <w:tcW w:w="1216" w:type="dxa"/>
            <w:tcBorders>
              <w:top w:val="nil"/>
              <w:left w:val="nil"/>
              <w:bottom w:val="single" w:sz="4" w:space="0" w:color="auto"/>
              <w:right w:val="single" w:sz="4" w:space="0" w:color="auto"/>
            </w:tcBorders>
            <w:shd w:val="clear" w:color="auto" w:fill="auto"/>
            <w:vAlign w:val="center"/>
            <w:hideMark/>
          </w:tcPr>
          <w:p w14:paraId="72DECF1D" w14:textId="77777777" w:rsidR="00BC1A62" w:rsidRPr="007C39A0" w:rsidRDefault="00BC1A62" w:rsidP="00294D05">
            <w:pPr>
              <w:pStyle w:val="a8"/>
              <w:ind w:left="0"/>
              <w:rPr>
                <w:rFonts w:cs="宋体"/>
                <w:color w:val="000000"/>
                <w:sz w:val="22"/>
                <w:szCs w:val="20"/>
              </w:rPr>
            </w:pPr>
            <w:r w:rsidRPr="007C39A0">
              <w:rPr>
                <w:rFonts w:cs="宋体" w:hint="eastAsia"/>
                <w:color w:val="000000"/>
                <w:sz w:val="22"/>
                <w:szCs w:val="20"/>
              </w:rPr>
              <w:t>2023-5-17</w:t>
            </w:r>
          </w:p>
        </w:tc>
        <w:tc>
          <w:tcPr>
            <w:tcW w:w="696" w:type="dxa"/>
            <w:tcBorders>
              <w:top w:val="nil"/>
              <w:left w:val="nil"/>
              <w:bottom w:val="single" w:sz="4" w:space="0" w:color="auto"/>
              <w:right w:val="single" w:sz="4" w:space="0" w:color="auto"/>
            </w:tcBorders>
            <w:shd w:val="clear" w:color="auto" w:fill="auto"/>
            <w:vAlign w:val="center"/>
            <w:hideMark/>
          </w:tcPr>
          <w:p w14:paraId="68BC837E" w14:textId="77777777" w:rsidR="00BC1A62" w:rsidRPr="007C39A0" w:rsidRDefault="00BC1A62" w:rsidP="00294D05">
            <w:pPr>
              <w:pStyle w:val="a8"/>
              <w:rPr>
                <w:rFonts w:cs="宋体"/>
                <w:color w:val="000000"/>
                <w:sz w:val="22"/>
                <w:szCs w:val="20"/>
              </w:rPr>
            </w:pPr>
            <w:r w:rsidRPr="007C39A0">
              <w:rPr>
                <w:rFonts w:cs="宋体" w:hint="eastAsia"/>
                <w:color w:val="000000"/>
                <w:sz w:val="22"/>
                <w:szCs w:val="20"/>
              </w:rPr>
              <w:t>125</w:t>
            </w:r>
          </w:p>
        </w:tc>
      </w:tr>
      <w:tr w:rsidR="00BC1A62" w:rsidRPr="007C39A0" w14:paraId="6C53F88D" w14:textId="77777777" w:rsidTr="00294D05">
        <w:trPr>
          <w:trHeight w:val="945"/>
        </w:trPr>
        <w:tc>
          <w:tcPr>
            <w:tcW w:w="516" w:type="dxa"/>
            <w:tcBorders>
              <w:top w:val="nil"/>
              <w:left w:val="single" w:sz="4" w:space="0" w:color="auto"/>
              <w:bottom w:val="single" w:sz="4" w:space="0" w:color="auto"/>
              <w:right w:val="single" w:sz="4" w:space="0" w:color="auto"/>
            </w:tcBorders>
            <w:shd w:val="clear" w:color="auto" w:fill="auto"/>
            <w:vAlign w:val="center"/>
            <w:hideMark/>
          </w:tcPr>
          <w:p w14:paraId="55CD2D2A" w14:textId="77777777" w:rsidR="00BC1A62" w:rsidRPr="007C39A0" w:rsidRDefault="00BC1A62" w:rsidP="00294D05">
            <w:pPr>
              <w:pStyle w:val="a8"/>
              <w:rPr>
                <w:rFonts w:cs="宋体"/>
                <w:color w:val="000000"/>
                <w:sz w:val="22"/>
                <w:szCs w:val="20"/>
              </w:rPr>
            </w:pPr>
            <w:r w:rsidRPr="007C39A0">
              <w:rPr>
                <w:rFonts w:cs="宋体" w:hint="eastAsia"/>
                <w:color w:val="000000"/>
                <w:sz w:val="22"/>
                <w:szCs w:val="20"/>
              </w:rPr>
              <w:lastRenderedPageBreak/>
              <w:t>5</w:t>
            </w:r>
          </w:p>
        </w:tc>
        <w:tc>
          <w:tcPr>
            <w:tcW w:w="868" w:type="dxa"/>
            <w:tcBorders>
              <w:top w:val="nil"/>
              <w:left w:val="nil"/>
              <w:bottom w:val="single" w:sz="4" w:space="0" w:color="auto"/>
              <w:right w:val="single" w:sz="4" w:space="0" w:color="auto"/>
            </w:tcBorders>
            <w:shd w:val="clear" w:color="auto" w:fill="auto"/>
            <w:vAlign w:val="center"/>
            <w:hideMark/>
          </w:tcPr>
          <w:p w14:paraId="3B4A91E1"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兴业银行</w:t>
            </w:r>
          </w:p>
        </w:tc>
        <w:tc>
          <w:tcPr>
            <w:tcW w:w="755" w:type="dxa"/>
            <w:tcBorders>
              <w:top w:val="nil"/>
              <w:left w:val="nil"/>
              <w:bottom w:val="single" w:sz="4" w:space="0" w:color="auto"/>
              <w:right w:val="single" w:sz="4" w:space="0" w:color="auto"/>
            </w:tcBorders>
            <w:shd w:val="clear" w:color="auto" w:fill="auto"/>
            <w:vAlign w:val="center"/>
            <w:hideMark/>
          </w:tcPr>
          <w:p w14:paraId="36CB349D"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结构性存款</w:t>
            </w:r>
          </w:p>
        </w:tc>
        <w:tc>
          <w:tcPr>
            <w:tcW w:w="1536" w:type="dxa"/>
            <w:tcBorders>
              <w:top w:val="nil"/>
              <w:left w:val="nil"/>
              <w:bottom w:val="single" w:sz="4" w:space="0" w:color="auto"/>
              <w:right w:val="single" w:sz="4" w:space="0" w:color="auto"/>
            </w:tcBorders>
            <w:shd w:val="clear" w:color="auto" w:fill="auto"/>
            <w:vAlign w:val="center"/>
            <w:hideMark/>
          </w:tcPr>
          <w:p w14:paraId="2CAE36A4" w14:textId="77777777" w:rsidR="00BC1A62" w:rsidRPr="007C39A0" w:rsidRDefault="00BC1A62" w:rsidP="00294D05">
            <w:pPr>
              <w:pStyle w:val="a8"/>
              <w:ind w:left="0"/>
              <w:jc w:val="center"/>
              <w:rPr>
                <w:rFonts w:cs="宋体"/>
                <w:color w:val="000000"/>
                <w:sz w:val="22"/>
                <w:szCs w:val="20"/>
              </w:rPr>
            </w:pPr>
            <w:r w:rsidRPr="007C39A0">
              <w:rPr>
                <w:rFonts w:cs="宋体" w:hint="eastAsia"/>
                <w:color w:val="000000"/>
                <w:sz w:val="22"/>
                <w:szCs w:val="20"/>
              </w:rPr>
              <w:t>保本浮动收益型</w:t>
            </w:r>
          </w:p>
        </w:tc>
        <w:tc>
          <w:tcPr>
            <w:tcW w:w="941" w:type="dxa"/>
            <w:tcBorders>
              <w:top w:val="nil"/>
              <w:left w:val="nil"/>
              <w:bottom w:val="single" w:sz="4" w:space="0" w:color="auto"/>
              <w:right w:val="single" w:sz="4" w:space="0" w:color="auto"/>
            </w:tcBorders>
            <w:shd w:val="clear" w:color="auto" w:fill="auto"/>
            <w:vAlign w:val="center"/>
            <w:hideMark/>
          </w:tcPr>
          <w:p w14:paraId="3272EF9F" w14:textId="77777777" w:rsidR="00BC1A62" w:rsidRPr="007C39A0" w:rsidRDefault="00BC1A62" w:rsidP="00294D05">
            <w:pPr>
              <w:pStyle w:val="a8"/>
              <w:jc w:val="center"/>
              <w:rPr>
                <w:rFonts w:cs="宋体"/>
                <w:color w:val="000000"/>
                <w:sz w:val="22"/>
                <w:szCs w:val="20"/>
              </w:rPr>
            </w:pPr>
            <w:r w:rsidRPr="007C39A0">
              <w:rPr>
                <w:rFonts w:cs="宋体" w:hint="eastAsia"/>
                <w:color w:val="000000"/>
                <w:sz w:val="22"/>
                <w:szCs w:val="20"/>
              </w:rPr>
              <w:t>4000</w:t>
            </w:r>
          </w:p>
        </w:tc>
        <w:tc>
          <w:tcPr>
            <w:tcW w:w="936" w:type="dxa"/>
            <w:tcBorders>
              <w:top w:val="nil"/>
              <w:left w:val="nil"/>
              <w:bottom w:val="single" w:sz="4" w:space="0" w:color="auto"/>
              <w:right w:val="single" w:sz="4" w:space="0" w:color="auto"/>
            </w:tcBorders>
            <w:shd w:val="clear" w:color="auto" w:fill="auto"/>
            <w:vAlign w:val="center"/>
            <w:hideMark/>
          </w:tcPr>
          <w:p w14:paraId="7E5F6985" w14:textId="77777777" w:rsidR="00BC1A62" w:rsidRPr="007C39A0" w:rsidRDefault="00BC1A62" w:rsidP="00294D05">
            <w:pPr>
              <w:pStyle w:val="a8"/>
              <w:jc w:val="center"/>
              <w:rPr>
                <w:rFonts w:cs="宋体"/>
                <w:color w:val="000000"/>
                <w:sz w:val="22"/>
                <w:szCs w:val="20"/>
              </w:rPr>
            </w:pPr>
            <w:r w:rsidRPr="007C39A0">
              <w:rPr>
                <w:rFonts w:cs="宋体" w:hint="eastAsia"/>
                <w:color w:val="000000"/>
                <w:sz w:val="22"/>
                <w:szCs w:val="20"/>
              </w:rPr>
              <w:t>2.73%</w:t>
            </w:r>
          </w:p>
        </w:tc>
        <w:tc>
          <w:tcPr>
            <w:tcW w:w="1291" w:type="dxa"/>
            <w:tcBorders>
              <w:top w:val="nil"/>
              <w:left w:val="nil"/>
              <w:bottom w:val="single" w:sz="4" w:space="0" w:color="auto"/>
              <w:right w:val="single" w:sz="4" w:space="0" w:color="auto"/>
            </w:tcBorders>
            <w:shd w:val="clear" w:color="auto" w:fill="auto"/>
            <w:vAlign w:val="center"/>
            <w:hideMark/>
          </w:tcPr>
          <w:p w14:paraId="2D600D73" w14:textId="77777777" w:rsidR="00BC1A62" w:rsidRPr="007C39A0" w:rsidRDefault="00BC1A62" w:rsidP="00294D05">
            <w:pPr>
              <w:pStyle w:val="a8"/>
              <w:ind w:left="0"/>
              <w:rPr>
                <w:rFonts w:cs="宋体"/>
                <w:color w:val="000000"/>
                <w:sz w:val="22"/>
                <w:szCs w:val="20"/>
              </w:rPr>
            </w:pPr>
            <w:r w:rsidRPr="007C39A0">
              <w:rPr>
                <w:rFonts w:cs="宋体" w:hint="eastAsia"/>
                <w:color w:val="000000"/>
                <w:sz w:val="22"/>
                <w:szCs w:val="20"/>
              </w:rPr>
              <w:t>2023-1-30</w:t>
            </w:r>
          </w:p>
        </w:tc>
        <w:tc>
          <w:tcPr>
            <w:tcW w:w="1216" w:type="dxa"/>
            <w:tcBorders>
              <w:top w:val="nil"/>
              <w:left w:val="nil"/>
              <w:bottom w:val="single" w:sz="4" w:space="0" w:color="auto"/>
              <w:right w:val="single" w:sz="4" w:space="0" w:color="auto"/>
            </w:tcBorders>
            <w:shd w:val="clear" w:color="auto" w:fill="auto"/>
            <w:vAlign w:val="center"/>
            <w:hideMark/>
          </w:tcPr>
          <w:p w14:paraId="58F0D19D" w14:textId="77777777" w:rsidR="00BC1A62" w:rsidRPr="007C39A0" w:rsidRDefault="00BC1A62" w:rsidP="00294D05">
            <w:pPr>
              <w:pStyle w:val="a8"/>
              <w:rPr>
                <w:rFonts w:cs="宋体"/>
                <w:color w:val="000000"/>
                <w:sz w:val="22"/>
                <w:szCs w:val="20"/>
              </w:rPr>
            </w:pPr>
            <w:r w:rsidRPr="007C39A0">
              <w:rPr>
                <w:rFonts w:cs="宋体" w:hint="eastAsia"/>
                <w:color w:val="000000"/>
                <w:sz w:val="22"/>
                <w:szCs w:val="20"/>
              </w:rPr>
              <w:t>2023-3-3</w:t>
            </w:r>
          </w:p>
        </w:tc>
        <w:tc>
          <w:tcPr>
            <w:tcW w:w="696" w:type="dxa"/>
            <w:tcBorders>
              <w:top w:val="nil"/>
              <w:left w:val="nil"/>
              <w:bottom w:val="single" w:sz="4" w:space="0" w:color="auto"/>
              <w:right w:val="single" w:sz="4" w:space="0" w:color="auto"/>
            </w:tcBorders>
            <w:shd w:val="clear" w:color="auto" w:fill="auto"/>
            <w:vAlign w:val="center"/>
            <w:hideMark/>
          </w:tcPr>
          <w:p w14:paraId="29A64FE6" w14:textId="77777777" w:rsidR="00BC1A62" w:rsidRPr="007C39A0" w:rsidRDefault="00BC1A62" w:rsidP="00294D05">
            <w:pPr>
              <w:pStyle w:val="a8"/>
              <w:rPr>
                <w:rFonts w:cs="宋体"/>
                <w:color w:val="000000"/>
                <w:sz w:val="22"/>
                <w:szCs w:val="20"/>
              </w:rPr>
            </w:pPr>
            <w:r w:rsidRPr="007C39A0">
              <w:rPr>
                <w:rFonts w:cs="宋体" w:hint="eastAsia"/>
                <w:color w:val="000000"/>
                <w:sz w:val="22"/>
                <w:szCs w:val="20"/>
              </w:rPr>
              <w:t>31</w:t>
            </w:r>
          </w:p>
        </w:tc>
      </w:tr>
    </w:tbl>
    <w:p w14:paraId="188BA761" w14:textId="77777777" w:rsidR="00BC1A62" w:rsidRDefault="00BC1A62" w:rsidP="006E0476">
      <w:pPr>
        <w:pStyle w:val="a8"/>
        <w:spacing w:line="360" w:lineRule="auto"/>
        <w:ind w:left="0" w:firstLineChars="200" w:firstLine="480"/>
        <w:jc w:val="both"/>
        <w:rPr>
          <w:lang w:eastAsia="zh-CN"/>
        </w:rPr>
      </w:pPr>
    </w:p>
    <w:p w14:paraId="26B1BF5D" w14:textId="0524750C" w:rsidR="004A1A3A" w:rsidRPr="004A1A3A" w:rsidRDefault="004D3A1C" w:rsidP="004D3A1C">
      <w:pPr>
        <w:pStyle w:val="1"/>
        <w:spacing w:before="0" w:line="480" w:lineRule="auto"/>
        <w:ind w:left="0" w:firstLineChars="200" w:firstLine="482"/>
        <w:rPr>
          <w:lang w:eastAsia="zh-CN"/>
        </w:rPr>
      </w:pPr>
      <w:r>
        <w:rPr>
          <w:rFonts w:hint="eastAsia"/>
          <w:lang w:eastAsia="zh-CN"/>
        </w:rPr>
        <w:t>三、</w:t>
      </w:r>
      <w:r w:rsidR="00DC13F4" w:rsidRPr="00F014B0">
        <w:rPr>
          <w:lang w:eastAsia="zh-CN"/>
        </w:rPr>
        <w:t>本次</w:t>
      </w:r>
      <w:r w:rsidR="00F014B0" w:rsidRPr="00F014B0">
        <w:rPr>
          <w:rFonts w:hint="eastAsia"/>
          <w:lang w:eastAsia="zh-CN"/>
        </w:rPr>
        <w:t>增加</w:t>
      </w:r>
      <w:r w:rsidR="00DC13F4" w:rsidRPr="00F014B0">
        <w:rPr>
          <w:lang w:eastAsia="zh-CN"/>
        </w:rPr>
        <w:t>使用部分闲置募集资金进行现金管理额度</w:t>
      </w:r>
      <w:r w:rsidR="0058011B">
        <w:rPr>
          <w:rFonts w:hint="eastAsia"/>
          <w:lang w:eastAsia="zh-CN"/>
        </w:rPr>
        <w:t>概况</w:t>
      </w:r>
    </w:p>
    <w:p w14:paraId="072E6B7F" w14:textId="77777777" w:rsidR="004A1A3A" w:rsidRPr="004A1A3A" w:rsidRDefault="004A1A3A" w:rsidP="006E0476">
      <w:pPr>
        <w:pStyle w:val="a8"/>
        <w:spacing w:line="360" w:lineRule="auto"/>
        <w:ind w:left="0" w:firstLineChars="200" w:firstLine="480"/>
        <w:jc w:val="both"/>
        <w:rPr>
          <w:lang w:eastAsia="zh-CN"/>
        </w:rPr>
      </w:pPr>
      <w:r w:rsidRPr="004A1A3A">
        <w:rPr>
          <w:rFonts w:hint="eastAsia"/>
          <w:lang w:eastAsia="zh-CN"/>
        </w:rPr>
        <w:t>（一）</w:t>
      </w:r>
      <w:r w:rsidRPr="004A1A3A">
        <w:rPr>
          <w:lang w:eastAsia="zh-CN"/>
        </w:rPr>
        <w:t>投资目的</w:t>
      </w:r>
    </w:p>
    <w:p w14:paraId="0889D181" w14:textId="7B87009B" w:rsidR="009175CE" w:rsidRDefault="009175CE" w:rsidP="006E0476">
      <w:pPr>
        <w:pStyle w:val="a8"/>
        <w:spacing w:line="360" w:lineRule="auto"/>
        <w:ind w:left="0" w:firstLineChars="200" w:firstLine="480"/>
        <w:jc w:val="both"/>
        <w:rPr>
          <w:lang w:eastAsia="zh-CN"/>
        </w:rPr>
      </w:pPr>
      <w:r>
        <w:rPr>
          <w:highlight w:val="white"/>
          <w:lang w:eastAsia="zh-CN"/>
        </w:rPr>
        <w:t>公司及子公司正按照募集资金使用计划，有序推进募集资金投资项目的进行。由于募集资金投资项目建设需要一定周期，根据募集资金投资项目建设进度，现阶段募集资金在短期内出现暂时闲置的情况。为提高募集资金使用效率，合理利用部分闲置募集资金，在确保不影响募集资金项目建设和使用、募集资金安全的情况下，增加公司的收益，为公司及股东获取更多回报。</w:t>
      </w:r>
    </w:p>
    <w:p w14:paraId="66C7A2C2" w14:textId="77777777" w:rsidR="004A1A3A" w:rsidRPr="004A1A3A" w:rsidRDefault="004A1A3A" w:rsidP="006E0476">
      <w:pPr>
        <w:pStyle w:val="a8"/>
        <w:spacing w:line="360" w:lineRule="auto"/>
        <w:ind w:left="0" w:firstLineChars="200" w:firstLine="480"/>
        <w:jc w:val="both"/>
        <w:rPr>
          <w:lang w:eastAsia="zh-CN"/>
        </w:rPr>
      </w:pPr>
      <w:r w:rsidRPr="004A1A3A">
        <w:rPr>
          <w:lang w:eastAsia="zh-CN"/>
        </w:rPr>
        <w:t>（二）投资产品品种</w:t>
      </w:r>
    </w:p>
    <w:p w14:paraId="5911F762" w14:textId="0B25F7E0" w:rsidR="009175CE" w:rsidRDefault="009175CE" w:rsidP="006E0476">
      <w:pPr>
        <w:pStyle w:val="a8"/>
        <w:spacing w:line="360" w:lineRule="auto"/>
        <w:ind w:left="0" w:firstLineChars="200" w:firstLine="480"/>
        <w:jc w:val="both"/>
        <w:rPr>
          <w:lang w:eastAsia="zh-CN"/>
        </w:rPr>
      </w:pPr>
      <w:r>
        <w:rPr>
          <w:highlight w:val="white"/>
          <w:lang w:eastAsia="zh-CN"/>
        </w:rPr>
        <w:t>公司及子公司将按照相关规定严格控制风险，使用部分闲置募集资金投资安全性高、流动性好的投资产品（</w:t>
      </w:r>
      <w:bookmarkStart w:id="0" w:name="_Hlk126047125"/>
      <w:r>
        <w:rPr>
          <w:highlight w:val="white"/>
          <w:lang w:eastAsia="zh-CN"/>
        </w:rPr>
        <w:t>包括但不限于保本型理财产品、结构性存款、大额存单、定期存款、通知存款、协定存款等</w:t>
      </w:r>
      <w:bookmarkEnd w:id="0"/>
      <w:r>
        <w:rPr>
          <w:highlight w:val="white"/>
          <w:lang w:eastAsia="zh-CN"/>
        </w:rPr>
        <w:t>），且该等现金管理产品不得用于质押，不用于以证券投资为目的的投资行为。</w:t>
      </w:r>
    </w:p>
    <w:p w14:paraId="2B45A2F4" w14:textId="77777777" w:rsidR="004A1A3A" w:rsidRPr="004A1A3A" w:rsidRDefault="004A1A3A" w:rsidP="006E0476">
      <w:pPr>
        <w:pStyle w:val="a8"/>
        <w:spacing w:line="360" w:lineRule="auto"/>
        <w:ind w:left="0" w:firstLineChars="200" w:firstLine="480"/>
        <w:jc w:val="both"/>
        <w:rPr>
          <w:lang w:eastAsia="zh-CN"/>
        </w:rPr>
      </w:pPr>
      <w:r w:rsidRPr="004A1A3A">
        <w:rPr>
          <w:lang w:eastAsia="zh-CN"/>
        </w:rPr>
        <w:t>（</w:t>
      </w:r>
      <w:r w:rsidRPr="004A1A3A">
        <w:rPr>
          <w:rFonts w:hint="eastAsia"/>
          <w:lang w:eastAsia="zh-CN"/>
        </w:rPr>
        <w:t>三</w:t>
      </w:r>
      <w:r w:rsidRPr="004A1A3A">
        <w:rPr>
          <w:lang w:eastAsia="zh-CN"/>
        </w:rPr>
        <w:t>）投资额度及期限</w:t>
      </w:r>
    </w:p>
    <w:p w14:paraId="6AA59808" w14:textId="4AA2FA28" w:rsidR="0023484C" w:rsidRDefault="004A1A3A" w:rsidP="006E0476">
      <w:pPr>
        <w:spacing w:line="360" w:lineRule="auto"/>
        <w:ind w:firstLineChars="200" w:firstLine="474"/>
        <w:rPr>
          <w:b/>
          <w:bCs/>
        </w:rPr>
      </w:pPr>
      <w:r>
        <w:rPr>
          <w:rFonts w:ascii="宋体" w:eastAsia="宋体" w:hAnsi="宋体"/>
          <w:spacing w:val="-3"/>
          <w:sz w:val="24"/>
          <w:szCs w:val="24"/>
        </w:rPr>
        <w:t>公司</w:t>
      </w:r>
      <w:r w:rsidR="00082593">
        <w:rPr>
          <w:rFonts w:ascii="宋体" w:eastAsia="宋体" w:hAnsi="宋体" w:hint="eastAsia"/>
          <w:spacing w:val="-3"/>
          <w:sz w:val="24"/>
          <w:szCs w:val="24"/>
        </w:rPr>
        <w:t>及子公司</w:t>
      </w:r>
      <w:r>
        <w:rPr>
          <w:rFonts w:ascii="宋体" w:eastAsia="宋体" w:hAnsi="宋体"/>
          <w:spacing w:val="-3"/>
          <w:sz w:val="24"/>
          <w:szCs w:val="24"/>
        </w:rPr>
        <w:t>计划</w:t>
      </w:r>
      <w:r w:rsidR="00F91F0B">
        <w:rPr>
          <w:rFonts w:ascii="宋体" w:eastAsia="宋体" w:hAnsi="宋体" w:hint="eastAsia"/>
          <w:spacing w:val="-3"/>
          <w:sz w:val="24"/>
          <w:szCs w:val="24"/>
        </w:rPr>
        <w:t>增加使用</w:t>
      </w:r>
      <w:r w:rsidR="00F91F0B" w:rsidRPr="00F91F0B">
        <w:rPr>
          <w:rFonts w:ascii="宋体" w:eastAsia="宋体" w:hAnsi="宋体" w:hint="eastAsia"/>
          <w:spacing w:val="-3"/>
          <w:sz w:val="24"/>
          <w:szCs w:val="24"/>
        </w:rPr>
        <w:t>部分闲置募集资金</w:t>
      </w:r>
      <w:r w:rsidR="00F91F0B">
        <w:rPr>
          <w:rFonts w:ascii="宋体" w:eastAsia="宋体" w:hAnsi="宋体" w:hint="eastAsia"/>
          <w:spacing w:val="-3"/>
          <w:sz w:val="24"/>
          <w:szCs w:val="24"/>
        </w:rPr>
        <w:t>进行现金管理额度为</w:t>
      </w:r>
      <w:r w:rsidR="0047259E">
        <w:rPr>
          <w:rFonts w:ascii="宋体" w:eastAsia="宋体" w:hAnsi="宋体" w:hint="eastAsia"/>
          <w:spacing w:val="-3"/>
          <w:sz w:val="24"/>
          <w:szCs w:val="24"/>
        </w:rPr>
        <w:t>1</w:t>
      </w:r>
      <w:r w:rsidR="00F91F0B">
        <w:rPr>
          <w:rFonts w:ascii="宋体" w:eastAsia="宋体" w:hAnsi="宋体" w:hint="eastAsia"/>
          <w:spacing w:val="-3"/>
          <w:sz w:val="24"/>
          <w:szCs w:val="24"/>
        </w:rPr>
        <w:t>亿元</w:t>
      </w:r>
      <w:r w:rsidR="002D7585">
        <w:rPr>
          <w:rFonts w:ascii="宋体" w:eastAsia="宋体" w:hAnsi="宋体" w:hint="eastAsia"/>
          <w:spacing w:val="-3"/>
          <w:sz w:val="24"/>
          <w:szCs w:val="24"/>
        </w:rPr>
        <w:t>（含本数）</w:t>
      </w:r>
      <w:r w:rsidR="00F91F0B">
        <w:rPr>
          <w:rFonts w:ascii="宋体" w:eastAsia="宋体" w:hAnsi="宋体" w:hint="eastAsia"/>
          <w:spacing w:val="-3"/>
          <w:sz w:val="24"/>
          <w:szCs w:val="24"/>
        </w:rPr>
        <w:t>，</w:t>
      </w:r>
      <w:r w:rsidR="0058011B">
        <w:rPr>
          <w:rFonts w:ascii="宋体" w:eastAsia="宋体" w:hAnsi="宋体" w:hint="eastAsia"/>
          <w:spacing w:val="-3"/>
          <w:sz w:val="24"/>
          <w:szCs w:val="24"/>
        </w:rPr>
        <w:t>增加后拟</w:t>
      </w:r>
      <w:r>
        <w:rPr>
          <w:rFonts w:ascii="宋体" w:eastAsia="宋体" w:hAnsi="宋体"/>
          <w:spacing w:val="-3"/>
          <w:sz w:val="24"/>
          <w:szCs w:val="24"/>
        </w:rPr>
        <w:t>使用最高</w:t>
      </w:r>
      <w:r w:rsidR="0058011B">
        <w:rPr>
          <w:rFonts w:ascii="宋体" w:eastAsia="宋体" w:hAnsi="宋体" w:hint="eastAsia"/>
          <w:spacing w:val="-3"/>
          <w:sz w:val="24"/>
          <w:szCs w:val="24"/>
        </w:rPr>
        <w:t>额度</w:t>
      </w:r>
      <w:r>
        <w:rPr>
          <w:rFonts w:ascii="宋体" w:eastAsia="宋体" w:hAnsi="宋体"/>
          <w:spacing w:val="-3"/>
          <w:sz w:val="24"/>
          <w:szCs w:val="24"/>
        </w:rPr>
        <w:t>不超过人民币</w:t>
      </w:r>
      <w:r w:rsidR="0047259E">
        <w:rPr>
          <w:rFonts w:ascii="宋体" w:eastAsia="宋体" w:hAnsi="宋体" w:hint="eastAsia"/>
          <w:spacing w:val="-3"/>
          <w:sz w:val="24"/>
          <w:szCs w:val="24"/>
        </w:rPr>
        <w:t>3</w:t>
      </w:r>
      <w:r w:rsidR="0047259E">
        <w:rPr>
          <w:rFonts w:ascii="宋体" w:eastAsia="宋体" w:hAnsi="宋体"/>
          <w:spacing w:val="-3"/>
          <w:sz w:val="24"/>
          <w:szCs w:val="24"/>
        </w:rPr>
        <w:t>.5</w:t>
      </w:r>
      <w:r w:rsidR="0047259E">
        <w:rPr>
          <w:rFonts w:ascii="宋体" w:eastAsia="宋体" w:hAnsi="宋体" w:hint="eastAsia"/>
          <w:spacing w:val="-3"/>
          <w:sz w:val="24"/>
          <w:szCs w:val="24"/>
        </w:rPr>
        <w:t>亿元</w:t>
      </w:r>
      <w:r w:rsidR="002D7585">
        <w:rPr>
          <w:rFonts w:ascii="宋体" w:eastAsia="宋体" w:hAnsi="宋体" w:hint="eastAsia"/>
          <w:spacing w:val="-3"/>
          <w:sz w:val="24"/>
          <w:szCs w:val="24"/>
        </w:rPr>
        <w:t>（含本数）</w:t>
      </w:r>
      <w:r>
        <w:rPr>
          <w:rFonts w:ascii="宋体" w:eastAsia="宋体" w:hAnsi="宋体"/>
          <w:spacing w:val="-3"/>
          <w:sz w:val="24"/>
          <w:szCs w:val="24"/>
        </w:rPr>
        <w:t>的部分闲置募集资金进行现金管理，在上述额度内,资金可以滚动使用,使用期限自</w:t>
      </w:r>
      <w:r w:rsidR="0065655C" w:rsidRPr="00A82938">
        <w:rPr>
          <w:rFonts w:ascii="宋体" w:eastAsia="宋体" w:hAnsi="宋体"/>
          <w:spacing w:val="-3"/>
          <w:sz w:val="24"/>
          <w:szCs w:val="24"/>
        </w:rPr>
        <w:t>第二届董事会第十</w:t>
      </w:r>
      <w:r w:rsidR="0065655C" w:rsidRPr="00A82938">
        <w:rPr>
          <w:rFonts w:ascii="宋体" w:eastAsia="宋体" w:hAnsi="宋体" w:hint="eastAsia"/>
          <w:spacing w:val="-3"/>
          <w:sz w:val="24"/>
          <w:szCs w:val="24"/>
        </w:rPr>
        <w:t>八</w:t>
      </w:r>
      <w:r w:rsidR="0065655C" w:rsidRPr="00A82938">
        <w:rPr>
          <w:rFonts w:ascii="宋体" w:eastAsia="宋体" w:hAnsi="宋体"/>
          <w:spacing w:val="-3"/>
          <w:sz w:val="24"/>
          <w:szCs w:val="24"/>
        </w:rPr>
        <w:t>次会议</w:t>
      </w:r>
      <w:r>
        <w:rPr>
          <w:rFonts w:ascii="宋体" w:eastAsia="宋体" w:hAnsi="宋体"/>
          <w:spacing w:val="-3"/>
          <w:sz w:val="24"/>
          <w:szCs w:val="24"/>
        </w:rPr>
        <w:t>审议通过之日起12个月内有效。</w:t>
      </w:r>
      <w:r w:rsidR="00DC13F4" w:rsidRPr="00F014B0">
        <w:rPr>
          <w:b/>
          <w:bCs/>
        </w:rPr>
        <w:t xml:space="preserve"> </w:t>
      </w:r>
    </w:p>
    <w:p w14:paraId="7BF44B93" w14:textId="72C2965A" w:rsidR="00781E55" w:rsidRPr="00A82938" w:rsidRDefault="00781E55" w:rsidP="00A82938">
      <w:pPr>
        <w:spacing w:line="360" w:lineRule="auto"/>
        <w:ind w:firstLineChars="200" w:firstLine="474"/>
        <w:rPr>
          <w:rFonts w:ascii="宋体" w:eastAsia="宋体" w:hAnsi="宋体"/>
          <w:spacing w:val="-3"/>
          <w:sz w:val="24"/>
          <w:szCs w:val="24"/>
        </w:rPr>
      </w:pPr>
      <w:r w:rsidRPr="00A82938">
        <w:rPr>
          <w:rFonts w:ascii="宋体" w:eastAsia="宋体" w:hAnsi="宋体"/>
          <w:spacing w:val="-3"/>
          <w:sz w:val="24"/>
          <w:szCs w:val="24"/>
        </w:rPr>
        <w:t>在利用部分暂时闲置募集资金实施现金管理的过程中，公司及子公司将视情况开立相应的现金管理专用结算账户。如开立，相关账户仅用于部分暂时闲置募集资金现金管理产品的结算，不存放非募集资金或作其他用途。</w:t>
      </w:r>
    </w:p>
    <w:p w14:paraId="60FEC230" w14:textId="77777777" w:rsidR="004A1A3A" w:rsidRPr="004A1A3A" w:rsidRDefault="004A1A3A" w:rsidP="006E0476">
      <w:pPr>
        <w:pStyle w:val="a8"/>
        <w:spacing w:line="360" w:lineRule="auto"/>
        <w:ind w:left="0" w:firstLineChars="200" w:firstLine="480"/>
        <w:jc w:val="both"/>
        <w:rPr>
          <w:lang w:eastAsia="zh-CN"/>
        </w:rPr>
      </w:pPr>
      <w:r w:rsidRPr="004A1A3A">
        <w:rPr>
          <w:lang w:eastAsia="zh-CN"/>
        </w:rPr>
        <w:t>（四）实施方式</w:t>
      </w:r>
    </w:p>
    <w:p w14:paraId="286C8A99" w14:textId="77777777" w:rsidR="004A1A3A" w:rsidRDefault="004A1A3A" w:rsidP="006E0476">
      <w:pPr>
        <w:spacing w:line="360" w:lineRule="auto"/>
        <w:ind w:firstLineChars="200" w:firstLine="474"/>
        <w:rPr>
          <w:rFonts w:ascii="宋体" w:eastAsia="宋体" w:hAnsi="宋体"/>
          <w:color w:val="353C44"/>
          <w:sz w:val="24"/>
          <w:szCs w:val="24"/>
        </w:rPr>
      </w:pPr>
      <w:r>
        <w:rPr>
          <w:rFonts w:ascii="宋体" w:eastAsia="宋体" w:hAnsi="宋体"/>
          <w:spacing w:val="-3"/>
          <w:sz w:val="24"/>
          <w:szCs w:val="24"/>
        </w:rPr>
        <w:t>董事会授</w:t>
      </w:r>
      <w:r w:rsidRPr="005E5BB1">
        <w:rPr>
          <w:rFonts w:ascii="宋体" w:eastAsia="宋体" w:hAnsi="宋体"/>
          <w:spacing w:val="-3"/>
          <w:sz w:val="24"/>
          <w:szCs w:val="24"/>
        </w:rPr>
        <w:t>权公司管理层在授权额度和期限内行使现金管理投资决策权并签署相关合同文件，具体事项由公司财务部负责组织实施。</w:t>
      </w:r>
    </w:p>
    <w:p w14:paraId="670DDD48" w14:textId="77777777" w:rsidR="004A1A3A" w:rsidRPr="004A1A3A" w:rsidRDefault="004A1A3A" w:rsidP="006E0476">
      <w:pPr>
        <w:pStyle w:val="a8"/>
        <w:spacing w:line="360" w:lineRule="auto"/>
        <w:ind w:left="0" w:firstLineChars="200" w:firstLine="480"/>
        <w:jc w:val="both"/>
        <w:rPr>
          <w:lang w:eastAsia="zh-CN"/>
        </w:rPr>
      </w:pPr>
      <w:r w:rsidRPr="004A1A3A">
        <w:rPr>
          <w:lang w:eastAsia="zh-CN"/>
        </w:rPr>
        <w:t>（</w:t>
      </w:r>
      <w:r w:rsidRPr="004A1A3A">
        <w:rPr>
          <w:rFonts w:hint="eastAsia"/>
          <w:lang w:eastAsia="zh-CN"/>
        </w:rPr>
        <w:t>五</w:t>
      </w:r>
      <w:r w:rsidRPr="004A1A3A">
        <w:rPr>
          <w:lang w:eastAsia="zh-CN"/>
        </w:rPr>
        <w:t>）信息披露</w:t>
      </w:r>
    </w:p>
    <w:p w14:paraId="19EEFADC" w14:textId="77777777" w:rsidR="004A1A3A" w:rsidRDefault="004A1A3A" w:rsidP="006E0476">
      <w:pPr>
        <w:pStyle w:val="a8"/>
        <w:spacing w:line="360" w:lineRule="auto"/>
        <w:ind w:left="0" w:firstLineChars="200" w:firstLine="474"/>
        <w:jc w:val="both"/>
        <w:rPr>
          <w:spacing w:val="-3"/>
          <w:lang w:eastAsia="zh-CN"/>
        </w:rPr>
      </w:pPr>
      <w:r>
        <w:rPr>
          <w:rFonts w:hint="eastAsia"/>
          <w:spacing w:val="-3"/>
          <w:lang w:eastAsia="zh-CN"/>
        </w:rPr>
        <w:t>公司将按照《上市公司监管指引第2号—上市公司募集资金管理和使用的监管要求》《上海证券交易所科创板股票上市规则》《上海证券交易所科创板上市</w:t>
      </w:r>
      <w:r>
        <w:rPr>
          <w:rFonts w:hint="eastAsia"/>
          <w:spacing w:val="-3"/>
          <w:lang w:eastAsia="zh-CN"/>
        </w:rPr>
        <w:lastRenderedPageBreak/>
        <w:t>公司自律监管指引第1号——规范运作》等相关法规和规范性文件的要求,及时履行信息披露义务。</w:t>
      </w:r>
    </w:p>
    <w:p w14:paraId="001A8C63" w14:textId="77777777" w:rsidR="004A1A3A" w:rsidRPr="004A1A3A" w:rsidRDefault="004A1A3A" w:rsidP="004A1A3A">
      <w:pPr>
        <w:pStyle w:val="a8"/>
        <w:spacing w:line="360" w:lineRule="auto"/>
        <w:ind w:left="0" w:firstLineChars="200" w:firstLine="480"/>
        <w:rPr>
          <w:lang w:eastAsia="zh-CN"/>
        </w:rPr>
      </w:pPr>
      <w:r w:rsidRPr="004A1A3A">
        <w:rPr>
          <w:lang w:eastAsia="zh-CN"/>
        </w:rPr>
        <w:t>（</w:t>
      </w:r>
      <w:r w:rsidRPr="004A1A3A">
        <w:rPr>
          <w:rFonts w:hint="eastAsia"/>
          <w:lang w:eastAsia="zh-CN"/>
        </w:rPr>
        <w:t>六</w:t>
      </w:r>
      <w:r w:rsidRPr="004A1A3A">
        <w:rPr>
          <w:lang w:eastAsia="zh-CN"/>
        </w:rPr>
        <w:t>）现金管理收益的分配</w:t>
      </w:r>
    </w:p>
    <w:p w14:paraId="158869DD" w14:textId="77777777" w:rsidR="004A1A3A" w:rsidRDefault="004A1A3A" w:rsidP="006E0476">
      <w:pPr>
        <w:spacing w:line="360" w:lineRule="auto"/>
        <w:ind w:firstLineChars="200" w:firstLine="474"/>
        <w:rPr>
          <w:rFonts w:ascii="宋体" w:eastAsia="宋体" w:hAnsi="宋体"/>
          <w:spacing w:val="-3"/>
          <w:sz w:val="24"/>
          <w:szCs w:val="24"/>
        </w:rPr>
      </w:pPr>
      <w:r>
        <w:rPr>
          <w:rFonts w:ascii="宋体" w:eastAsia="宋体" w:hAnsi="宋体"/>
          <w:spacing w:val="-3"/>
          <w:sz w:val="24"/>
          <w:szCs w:val="24"/>
        </w:rPr>
        <w:t>公司使用部分闲置募集资金进行现金管理的所得收益归公司所有，并严格按照中国证券监督管理委员会及上海证券交易所关于募集资金监管措施的要求管理和使用资金,现金管理产品到期后将归还至募集资金专户。</w:t>
      </w:r>
    </w:p>
    <w:p w14:paraId="216CD3D3" w14:textId="7B416C9F" w:rsidR="002C0471" w:rsidRPr="004A1A3A" w:rsidRDefault="004D3A1C" w:rsidP="004D3A1C">
      <w:pPr>
        <w:pStyle w:val="1"/>
        <w:spacing w:before="0" w:line="480" w:lineRule="auto"/>
        <w:ind w:left="0" w:firstLineChars="200" w:firstLine="482"/>
        <w:rPr>
          <w:lang w:eastAsia="zh-CN"/>
        </w:rPr>
      </w:pPr>
      <w:r>
        <w:rPr>
          <w:rFonts w:hint="eastAsia"/>
          <w:lang w:eastAsia="zh-CN"/>
        </w:rPr>
        <w:t>四、</w:t>
      </w:r>
      <w:r w:rsidR="00DC13F4" w:rsidRPr="004A1A3A">
        <w:rPr>
          <w:lang w:eastAsia="zh-CN"/>
        </w:rPr>
        <w:t xml:space="preserve">对公司的影响 </w:t>
      </w:r>
    </w:p>
    <w:p w14:paraId="5E6B29F3" w14:textId="04D7F5A2" w:rsidR="002C0471" w:rsidRDefault="002D7585" w:rsidP="00A82938">
      <w:pPr>
        <w:pStyle w:val="a8"/>
        <w:spacing w:line="360" w:lineRule="auto"/>
        <w:ind w:firstLineChars="200" w:firstLine="480"/>
        <w:rPr>
          <w:lang w:eastAsia="zh-CN"/>
        </w:rPr>
      </w:pPr>
      <w:r>
        <w:rPr>
          <w:rFonts w:hint="eastAsia"/>
          <w:lang w:eastAsia="zh-CN"/>
        </w:rPr>
        <w:t>公司募投项目</w:t>
      </w:r>
      <w:r w:rsidR="00AA6451">
        <w:rPr>
          <w:rFonts w:hint="eastAsia"/>
          <w:lang w:eastAsia="zh-CN"/>
        </w:rPr>
        <w:t>“</w:t>
      </w:r>
      <w:r>
        <w:rPr>
          <w:rFonts w:hint="eastAsia"/>
          <w:lang w:eastAsia="zh-CN"/>
        </w:rPr>
        <w:t>长沙赛恩斯环保工程技术有限公司</w:t>
      </w:r>
      <w:r>
        <w:rPr>
          <w:lang w:eastAsia="zh-CN"/>
        </w:rPr>
        <w:t>成套环保设备生产基地建设项目</w:t>
      </w:r>
      <w:r w:rsidR="00AA6451">
        <w:rPr>
          <w:rFonts w:hint="eastAsia"/>
          <w:lang w:eastAsia="zh-CN"/>
        </w:rPr>
        <w:t>”和“</w:t>
      </w:r>
      <w:r>
        <w:rPr>
          <w:rFonts w:hint="eastAsia"/>
          <w:lang w:eastAsia="zh-CN"/>
        </w:rPr>
        <w:t>赛恩斯环保股份有限公司研发中心</w:t>
      </w:r>
      <w:r>
        <w:rPr>
          <w:lang w:eastAsia="zh-CN"/>
        </w:rPr>
        <w:t>扩建项目</w:t>
      </w:r>
      <w:r w:rsidR="00AA6451">
        <w:rPr>
          <w:rFonts w:hint="eastAsia"/>
          <w:lang w:eastAsia="zh-CN"/>
        </w:rPr>
        <w:t>”</w:t>
      </w:r>
      <w:r>
        <w:rPr>
          <w:rFonts w:hint="eastAsia"/>
          <w:lang w:eastAsia="zh-CN"/>
        </w:rPr>
        <w:t>正在报建，同时各项施工前的准备工作正有序进行中，</w:t>
      </w:r>
      <w:r w:rsidR="00DC13F4">
        <w:rPr>
          <w:lang w:eastAsia="zh-CN"/>
        </w:rPr>
        <w:t>本次</w:t>
      </w:r>
      <w:r w:rsidR="0065655C">
        <w:rPr>
          <w:rFonts w:hint="eastAsia"/>
          <w:lang w:eastAsia="zh-CN"/>
        </w:rPr>
        <w:t>增加使用闲置</w:t>
      </w:r>
      <w:r w:rsidR="00DC13F4">
        <w:rPr>
          <w:lang w:eastAsia="zh-CN"/>
        </w:rPr>
        <w:t>募集资金进行现金管理额度是公司基于</w:t>
      </w:r>
      <w:r w:rsidR="00F014B0">
        <w:rPr>
          <w:lang w:eastAsia="zh-CN"/>
        </w:rPr>
        <w:t>对部分闲置的募集资金进行适度、适时的现金管理，提高资金使用效率，增加公司收益</w:t>
      </w:r>
      <w:r w:rsidR="00F014B0">
        <w:rPr>
          <w:rFonts w:hint="eastAsia"/>
          <w:lang w:eastAsia="zh-CN"/>
        </w:rPr>
        <w:t>的考虑</w:t>
      </w:r>
      <w:r w:rsidR="00F014B0">
        <w:rPr>
          <w:lang w:eastAsia="zh-CN"/>
        </w:rPr>
        <w:t>，以更好地实现公司资金的保值与增值，维护公司股东的利益。</w:t>
      </w:r>
      <w:r w:rsidR="00DC13F4">
        <w:rPr>
          <w:lang w:eastAsia="zh-CN"/>
        </w:rPr>
        <w:t>未对公司日常生产经营造成损失，未对募集资金投资项目正常进展带来不利影响，不存在改变募集资金投向和损害股东利益的情形。公司本次增加部分闲置募集资金现金管理额度，是在确保不影响募集资金投资项目正常实施进度、不影响公司正常生产经营的前提下进行的，不存在变相改变募集资金投向的行为。</w:t>
      </w:r>
    </w:p>
    <w:p w14:paraId="250F37B3" w14:textId="656DC049" w:rsidR="002C0471" w:rsidRPr="004A1A3A" w:rsidRDefault="004D3A1C" w:rsidP="004D3A1C">
      <w:pPr>
        <w:pStyle w:val="1"/>
        <w:spacing w:before="0" w:line="480" w:lineRule="auto"/>
        <w:ind w:left="0" w:firstLineChars="200" w:firstLine="482"/>
        <w:rPr>
          <w:lang w:eastAsia="zh-CN"/>
        </w:rPr>
      </w:pPr>
      <w:r>
        <w:rPr>
          <w:rFonts w:hint="eastAsia"/>
          <w:lang w:eastAsia="zh-CN"/>
        </w:rPr>
        <w:t>五、</w:t>
      </w:r>
      <w:r w:rsidR="00DC13F4" w:rsidRPr="004A1A3A">
        <w:rPr>
          <w:lang w:eastAsia="zh-CN"/>
        </w:rPr>
        <w:t xml:space="preserve">风险控制措施 </w:t>
      </w:r>
    </w:p>
    <w:p w14:paraId="758D8214" w14:textId="77777777" w:rsidR="004A1A3A" w:rsidRDefault="004A1A3A" w:rsidP="006E0476">
      <w:pPr>
        <w:pStyle w:val="a8"/>
        <w:spacing w:line="360" w:lineRule="auto"/>
        <w:ind w:left="0" w:firstLineChars="200" w:firstLine="480"/>
        <w:jc w:val="both"/>
        <w:rPr>
          <w:lang w:eastAsia="zh-CN"/>
        </w:rPr>
      </w:pPr>
      <w:r>
        <w:rPr>
          <w:lang w:eastAsia="zh-CN"/>
        </w:rPr>
        <w:t>(一)投资风险</w:t>
      </w:r>
    </w:p>
    <w:p w14:paraId="50C44156" w14:textId="11246C38" w:rsidR="004A1A3A" w:rsidRDefault="004A1A3A" w:rsidP="006E0476">
      <w:pPr>
        <w:pStyle w:val="a8"/>
        <w:spacing w:line="360" w:lineRule="auto"/>
        <w:ind w:left="0" w:firstLineChars="200" w:firstLine="480"/>
        <w:jc w:val="both"/>
        <w:rPr>
          <w:lang w:eastAsia="zh-CN"/>
        </w:rPr>
      </w:pPr>
      <w:r>
        <w:rPr>
          <w:rFonts w:hint="eastAsia"/>
          <w:lang w:eastAsia="zh-CN"/>
        </w:rPr>
        <w:t>尽管公司</w:t>
      </w:r>
      <w:r w:rsidR="00AB4F2B">
        <w:rPr>
          <w:rFonts w:hint="eastAsia"/>
          <w:lang w:eastAsia="zh-CN"/>
        </w:rPr>
        <w:t>及子公司</w:t>
      </w:r>
      <w:r>
        <w:rPr>
          <w:rFonts w:hint="eastAsia"/>
          <w:lang w:eastAsia="zh-CN"/>
        </w:rPr>
        <w:t>拟投资安全性高、流动性好、期限不超过</w:t>
      </w:r>
      <w:r>
        <w:rPr>
          <w:lang w:eastAsia="zh-CN"/>
        </w:rPr>
        <w:t>12个月（含）的投资产品，投资风险可控。但金融市场受宏观经济影响较大，公司</w:t>
      </w:r>
      <w:r w:rsidR="00AB4F2B">
        <w:rPr>
          <w:rFonts w:hint="eastAsia"/>
          <w:lang w:eastAsia="zh-CN"/>
        </w:rPr>
        <w:t>及子公司</w:t>
      </w:r>
      <w:r>
        <w:rPr>
          <w:lang w:eastAsia="zh-CN"/>
        </w:rPr>
        <w:t>将根据经济形势以及金融市场的变化适时适量介入，但不排除该项投资受到市场波动的影响，存在一定的系统性风险。</w:t>
      </w:r>
    </w:p>
    <w:p w14:paraId="140B54B0" w14:textId="77777777" w:rsidR="004A1A3A" w:rsidRDefault="004A1A3A" w:rsidP="006E0476">
      <w:pPr>
        <w:pStyle w:val="a8"/>
        <w:spacing w:line="360" w:lineRule="auto"/>
        <w:ind w:left="0" w:firstLineChars="200" w:firstLine="480"/>
        <w:jc w:val="both"/>
        <w:rPr>
          <w:lang w:eastAsia="zh-CN"/>
        </w:rPr>
      </w:pPr>
      <w:r>
        <w:rPr>
          <w:lang w:eastAsia="zh-CN"/>
        </w:rPr>
        <w:t>(二)风险控制措施</w:t>
      </w:r>
    </w:p>
    <w:p w14:paraId="11BCB29E" w14:textId="77777777" w:rsidR="004A1A3A" w:rsidRDefault="004A1A3A" w:rsidP="006E0476">
      <w:pPr>
        <w:pStyle w:val="a8"/>
        <w:spacing w:line="360" w:lineRule="auto"/>
        <w:ind w:left="0" w:firstLineChars="200" w:firstLine="480"/>
        <w:jc w:val="both"/>
        <w:rPr>
          <w:lang w:eastAsia="zh-CN"/>
        </w:rPr>
      </w:pPr>
      <w:r>
        <w:rPr>
          <w:lang w:eastAsia="zh-CN"/>
        </w:rPr>
        <w:t>1、公司将严格按照《上市公司监管指引第2号—上市公司募集资金管理和使用的监管要求》《上海证券交易所科创板股票上市规则》《上海证券交易所科创板上市公司自律监管指引第1号——规范运作》以及公司《募集资金管理制度》等有关规定办理相关现金管理业务。</w:t>
      </w:r>
    </w:p>
    <w:p w14:paraId="0F1D003D" w14:textId="77777777" w:rsidR="004A1A3A" w:rsidRDefault="004A1A3A" w:rsidP="006E0476">
      <w:pPr>
        <w:pStyle w:val="a8"/>
        <w:spacing w:line="360" w:lineRule="auto"/>
        <w:ind w:left="0" w:firstLineChars="200" w:firstLine="480"/>
        <w:jc w:val="both"/>
        <w:rPr>
          <w:lang w:eastAsia="zh-CN"/>
        </w:rPr>
      </w:pPr>
      <w:r>
        <w:rPr>
          <w:lang w:eastAsia="zh-CN"/>
        </w:rPr>
        <w:t>2、公司按照决策、执行、监督职能相分离的原则建立健全现金管理的审批</w:t>
      </w:r>
      <w:r>
        <w:rPr>
          <w:lang w:eastAsia="zh-CN"/>
        </w:rPr>
        <w:lastRenderedPageBreak/>
        <w:t>和执行程序，有效开展和规范运行现金管理的投资产品购买事宜，确保资金安全。</w:t>
      </w:r>
    </w:p>
    <w:p w14:paraId="669ED769" w14:textId="77777777" w:rsidR="004A1A3A" w:rsidRDefault="004A1A3A" w:rsidP="006E0476">
      <w:pPr>
        <w:pStyle w:val="a8"/>
        <w:spacing w:line="360" w:lineRule="auto"/>
        <w:ind w:left="0" w:firstLineChars="200" w:firstLine="480"/>
        <w:jc w:val="both"/>
        <w:rPr>
          <w:lang w:eastAsia="zh-CN"/>
        </w:rPr>
      </w:pPr>
      <w:r>
        <w:rPr>
          <w:lang w:eastAsia="zh-CN"/>
        </w:rPr>
        <w:t>3、公司将严格遵守审慎投资原则筛选投资对象,主要选择信誉好、规模大、有能力保障资金安全的发行主体所发行的产品。</w:t>
      </w:r>
    </w:p>
    <w:p w14:paraId="76BABA46" w14:textId="76797560" w:rsidR="004A1A3A" w:rsidRDefault="004A1A3A" w:rsidP="006E0476">
      <w:pPr>
        <w:pStyle w:val="a8"/>
        <w:spacing w:line="360" w:lineRule="auto"/>
        <w:ind w:left="0" w:firstLineChars="200" w:firstLine="480"/>
        <w:jc w:val="both"/>
        <w:rPr>
          <w:lang w:eastAsia="zh-CN"/>
        </w:rPr>
      </w:pPr>
      <w:r>
        <w:rPr>
          <w:lang w:eastAsia="zh-CN"/>
        </w:rPr>
        <w:t>4、公司财务部相关人员将及时分析和跟踪投资产品的投向、项目进展情况，如评估发现存在可能影响公司资金安全的风险因素，将及时采取相应保全措施</w:t>
      </w:r>
      <w:r w:rsidR="006E0476">
        <w:rPr>
          <w:rFonts w:hint="eastAsia"/>
          <w:lang w:eastAsia="zh-CN"/>
        </w:rPr>
        <w:t>，</w:t>
      </w:r>
      <w:r>
        <w:rPr>
          <w:lang w:eastAsia="zh-CN"/>
        </w:rPr>
        <w:t>控制理财风险。</w:t>
      </w:r>
    </w:p>
    <w:p w14:paraId="7DB87355" w14:textId="77777777" w:rsidR="004A1A3A" w:rsidRDefault="004A1A3A" w:rsidP="006E0476">
      <w:pPr>
        <w:pStyle w:val="a8"/>
        <w:spacing w:line="360" w:lineRule="auto"/>
        <w:ind w:left="0" w:firstLineChars="200" w:firstLine="480"/>
        <w:jc w:val="both"/>
        <w:rPr>
          <w:lang w:eastAsia="zh-CN"/>
        </w:rPr>
      </w:pPr>
      <w:r>
        <w:rPr>
          <w:lang w:eastAsia="zh-CN"/>
        </w:rPr>
        <w:t>5、公司监事会、独立董事、董事会审计委员会有权对资金使用情况进行监督与检查，必要时可以聘请专业机构进行审计。</w:t>
      </w:r>
    </w:p>
    <w:p w14:paraId="3299FBF6" w14:textId="7741D394" w:rsidR="002C0471" w:rsidRPr="004A1A3A" w:rsidRDefault="004A1A3A" w:rsidP="004D3A1C">
      <w:pPr>
        <w:pStyle w:val="1"/>
        <w:spacing w:before="0" w:line="480" w:lineRule="auto"/>
        <w:ind w:left="0" w:firstLineChars="200" w:firstLine="482"/>
        <w:rPr>
          <w:lang w:eastAsia="zh-CN"/>
        </w:rPr>
      </w:pPr>
      <w:r w:rsidRPr="004A1A3A">
        <w:rPr>
          <w:rFonts w:hint="eastAsia"/>
          <w:lang w:eastAsia="zh-CN"/>
        </w:rPr>
        <w:t>六、</w:t>
      </w:r>
      <w:r w:rsidR="00DC13F4" w:rsidRPr="004A1A3A">
        <w:rPr>
          <w:lang w:eastAsia="zh-CN"/>
        </w:rPr>
        <w:t xml:space="preserve">审议程序履行情况 </w:t>
      </w:r>
    </w:p>
    <w:p w14:paraId="7D28486D" w14:textId="03A643D7" w:rsidR="002C0471" w:rsidRDefault="00DC13F4" w:rsidP="006E0476">
      <w:pPr>
        <w:pStyle w:val="a8"/>
        <w:spacing w:line="360" w:lineRule="auto"/>
        <w:ind w:left="0" w:firstLineChars="200" w:firstLine="480"/>
        <w:jc w:val="both"/>
        <w:rPr>
          <w:lang w:eastAsia="zh-CN"/>
        </w:rPr>
      </w:pPr>
      <w:r>
        <w:rPr>
          <w:lang w:eastAsia="zh-CN"/>
        </w:rPr>
        <w:t>公司</w:t>
      </w:r>
      <w:r w:rsidR="00082593">
        <w:rPr>
          <w:rFonts w:hint="eastAsia"/>
          <w:lang w:eastAsia="zh-CN"/>
        </w:rPr>
        <w:t>于2</w:t>
      </w:r>
      <w:r w:rsidR="00082593">
        <w:rPr>
          <w:lang w:eastAsia="zh-CN"/>
        </w:rPr>
        <w:t>023</w:t>
      </w:r>
      <w:r w:rsidR="00082593">
        <w:rPr>
          <w:rFonts w:hint="eastAsia"/>
          <w:lang w:eastAsia="zh-CN"/>
        </w:rPr>
        <w:t>年2月1日召开</w:t>
      </w:r>
      <w:r>
        <w:rPr>
          <w:lang w:eastAsia="zh-CN"/>
        </w:rPr>
        <w:t>第二届董事会第十</w:t>
      </w:r>
      <w:r w:rsidR="0058011B">
        <w:rPr>
          <w:rFonts w:hint="eastAsia"/>
          <w:lang w:eastAsia="zh-CN"/>
        </w:rPr>
        <w:t>八</w:t>
      </w:r>
      <w:r>
        <w:rPr>
          <w:lang w:eastAsia="zh-CN"/>
        </w:rPr>
        <w:t>次会议和第二届监事会第十</w:t>
      </w:r>
      <w:r w:rsidR="0058011B">
        <w:rPr>
          <w:rFonts w:hint="eastAsia"/>
          <w:lang w:eastAsia="zh-CN"/>
        </w:rPr>
        <w:t>二</w:t>
      </w:r>
      <w:r>
        <w:rPr>
          <w:lang w:eastAsia="zh-CN"/>
        </w:rPr>
        <w:t>次会议</w:t>
      </w:r>
      <w:r w:rsidR="00082593">
        <w:rPr>
          <w:rFonts w:hint="eastAsia"/>
          <w:lang w:eastAsia="zh-CN"/>
        </w:rPr>
        <w:t>，</w:t>
      </w:r>
      <w:r>
        <w:rPr>
          <w:lang w:eastAsia="zh-CN"/>
        </w:rPr>
        <w:t>审议通过了《关于</w:t>
      </w:r>
      <w:r w:rsidR="0058011B">
        <w:rPr>
          <w:rFonts w:hint="eastAsia"/>
          <w:lang w:eastAsia="zh-CN"/>
        </w:rPr>
        <w:t>增加</w:t>
      </w:r>
      <w:r>
        <w:rPr>
          <w:lang w:eastAsia="zh-CN"/>
        </w:rPr>
        <w:t>使用部分闲置募集资金进行现金管理额度的议案》，</w:t>
      </w:r>
      <w:r w:rsidR="00082593" w:rsidRPr="00082593">
        <w:rPr>
          <w:rFonts w:hint="eastAsia"/>
          <w:lang w:eastAsia="zh-CN"/>
        </w:rPr>
        <w:t>公司独立董事就上述议案发表了同意的独立意见。上述事项无需提交公司股东大会审议。保荐机构对此出具明确的核查意见。</w:t>
      </w:r>
    </w:p>
    <w:p w14:paraId="06BBCFEF" w14:textId="77777777" w:rsidR="002C0471" w:rsidRPr="004A1A3A" w:rsidRDefault="00DC13F4" w:rsidP="004D3A1C">
      <w:pPr>
        <w:pStyle w:val="1"/>
        <w:spacing w:before="0" w:line="480" w:lineRule="auto"/>
        <w:ind w:left="0" w:firstLineChars="200" w:firstLine="482"/>
        <w:rPr>
          <w:lang w:eastAsia="zh-CN"/>
        </w:rPr>
      </w:pPr>
      <w:r w:rsidRPr="004A1A3A">
        <w:rPr>
          <w:lang w:eastAsia="zh-CN"/>
        </w:rPr>
        <w:t xml:space="preserve">七、专项意见说明 </w:t>
      </w:r>
    </w:p>
    <w:p w14:paraId="43664A67" w14:textId="77777777" w:rsidR="002C0471" w:rsidRDefault="00DC13F4" w:rsidP="00F4560A">
      <w:pPr>
        <w:pStyle w:val="a8"/>
        <w:spacing w:line="360" w:lineRule="auto"/>
        <w:ind w:left="0" w:firstLineChars="200" w:firstLine="480"/>
        <w:jc w:val="both"/>
        <w:rPr>
          <w:lang w:eastAsia="zh-CN"/>
        </w:rPr>
      </w:pPr>
      <w:r w:rsidRPr="00EC5830">
        <w:rPr>
          <w:lang w:eastAsia="zh-CN"/>
        </w:rPr>
        <w:t>1、</w:t>
      </w:r>
      <w:r>
        <w:rPr>
          <w:lang w:eastAsia="zh-CN"/>
        </w:rPr>
        <w:t xml:space="preserve">独立董事意见 </w:t>
      </w:r>
    </w:p>
    <w:p w14:paraId="3925F51D" w14:textId="77777777" w:rsidR="00082593" w:rsidRDefault="00DC13F4" w:rsidP="00F4560A">
      <w:pPr>
        <w:pStyle w:val="a8"/>
        <w:spacing w:line="360" w:lineRule="auto"/>
        <w:ind w:left="0" w:firstLineChars="200" w:firstLine="480"/>
        <w:jc w:val="both"/>
        <w:rPr>
          <w:lang w:eastAsia="zh-CN"/>
        </w:rPr>
      </w:pPr>
      <w:r>
        <w:rPr>
          <w:lang w:eastAsia="zh-CN"/>
        </w:rPr>
        <w:t>公司独立董事认为：</w:t>
      </w:r>
      <w:bookmarkStart w:id="1" w:name="_Hlk125994511"/>
      <w:r w:rsidR="002D7585" w:rsidRPr="002D7585">
        <w:rPr>
          <w:rFonts w:hint="eastAsia"/>
          <w:lang w:eastAsia="zh-CN"/>
        </w:rPr>
        <w:t>在不影响募集资金投资计划的正常进行及资金安全的前提下，公司拟增加使用闲置募集资金进行现金管理额度，增加现金管理额度为</w:t>
      </w:r>
      <w:r w:rsidR="002D7585" w:rsidRPr="002D7585">
        <w:rPr>
          <w:lang w:eastAsia="zh-CN"/>
        </w:rPr>
        <w:t>1亿元</w:t>
      </w:r>
      <w:r w:rsidR="002D7585">
        <w:rPr>
          <w:rFonts w:hint="eastAsia"/>
          <w:lang w:eastAsia="zh-CN"/>
        </w:rPr>
        <w:t>（含本数）</w:t>
      </w:r>
      <w:r w:rsidR="002D7585" w:rsidRPr="002D7585">
        <w:rPr>
          <w:lang w:eastAsia="zh-CN"/>
        </w:rPr>
        <w:t>，增加后合计拟使用不超过人民币3.5亿元</w:t>
      </w:r>
      <w:r w:rsidR="002D7585">
        <w:rPr>
          <w:rFonts w:hint="eastAsia"/>
          <w:lang w:eastAsia="zh-CN"/>
        </w:rPr>
        <w:t>（含本数）</w:t>
      </w:r>
      <w:r w:rsidR="002D7585" w:rsidRPr="002D7585">
        <w:rPr>
          <w:lang w:eastAsia="zh-CN"/>
        </w:rPr>
        <w:t>的闲置募集资金进行现金管理，有利于提高公司闲置募集资金利用率，获得一定的投资收益，符合《上市公司监管指引第2号——上市公司募集资金管理和使用的监管要求》《上海证券交易所科创板上市公司自律监管指引第1号——规范运作》等相关法律法规、规章及其他规范性文件和公司《募集资金管理制度》的规定。公司本次的审议和表决程序合法、有效，符合《公司章程》的相关规定，不</w:t>
      </w:r>
      <w:r w:rsidR="002D7585" w:rsidRPr="002D7585">
        <w:rPr>
          <w:rFonts w:hint="eastAsia"/>
          <w:lang w:eastAsia="zh-CN"/>
        </w:rPr>
        <w:t>存在损害公司及全体股东，特别是中小股东利益的情形。</w:t>
      </w:r>
    </w:p>
    <w:p w14:paraId="11B2B57C" w14:textId="4364E047" w:rsidR="002C0471" w:rsidRPr="002D7585" w:rsidRDefault="002D7585" w:rsidP="00F4560A">
      <w:pPr>
        <w:pStyle w:val="a8"/>
        <w:spacing w:line="360" w:lineRule="auto"/>
        <w:ind w:left="0" w:firstLineChars="200" w:firstLine="480"/>
        <w:jc w:val="both"/>
        <w:rPr>
          <w:lang w:eastAsia="zh-CN"/>
        </w:rPr>
      </w:pPr>
      <w:r w:rsidRPr="002D7585">
        <w:rPr>
          <w:rFonts w:hint="eastAsia"/>
          <w:lang w:eastAsia="zh-CN"/>
        </w:rPr>
        <w:t>综上，</w:t>
      </w:r>
      <w:r w:rsidR="00082593">
        <w:rPr>
          <w:rFonts w:hint="eastAsia"/>
          <w:lang w:eastAsia="zh-CN"/>
        </w:rPr>
        <w:t>独立董事</w:t>
      </w:r>
      <w:r w:rsidRPr="002D7585">
        <w:rPr>
          <w:rFonts w:hint="eastAsia"/>
          <w:lang w:eastAsia="zh-CN"/>
        </w:rPr>
        <w:t>同意</w:t>
      </w:r>
      <w:r w:rsidR="00082593">
        <w:rPr>
          <w:rFonts w:hint="eastAsia"/>
          <w:lang w:eastAsia="zh-CN"/>
        </w:rPr>
        <w:t>公司及子公司本次</w:t>
      </w:r>
      <w:r w:rsidRPr="002D7585">
        <w:rPr>
          <w:rFonts w:hint="eastAsia"/>
          <w:lang w:eastAsia="zh-CN"/>
        </w:rPr>
        <w:t>增加使用闲置募集资金进行现金管理额度。</w:t>
      </w:r>
    </w:p>
    <w:bookmarkEnd w:id="1"/>
    <w:p w14:paraId="4CEEB71B" w14:textId="192FBEB1" w:rsidR="002C0471" w:rsidRDefault="00DC13F4" w:rsidP="00F4560A">
      <w:pPr>
        <w:pStyle w:val="a8"/>
        <w:spacing w:line="360" w:lineRule="auto"/>
        <w:ind w:left="0" w:firstLineChars="200" w:firstLine="480"/>
        <w:jc w:val="both"/>
        <w:rPr>
          <w:lang w:eastAsia="zh-CN"/>
        </w:rPr>
      </w:pPr>
      <w:r>
        <w:rPr>
          <w:lang w:eastAsia="zh-CN"/>
        </w:rPr>
        <w:t xml:space="preserve">2、监事会意见 </w:t>
      </w:r>
    </w:p>
    <w:p w14:paraId="3C87566D" w14:textId="6563A9E0" w:rsidR="002D7585" w:rsidRDefault="0065655C" w:rsidP="002D7585">
      <w:pPr>
        <w:pStyle w:val="a8"/>
        <w:spacing w:line="360" w:lineRule="auto"/>
        <w:ind w:firstLineChars="200" w:firstLine="480"/>
        <w:rPr>
          <w:lang w:eastAsia="zh-CN"/>
        </w:rPr>
      </w:pPr>
      <w:r>
        <w:rPr>
          <w:lang w:eastAsia="zh-CN"/>
        </w:rPr>
        <w:t>2023</w:t>
      </w:r>
      <w:r w:rsidR="00DC13F4">
        <w:rPr>
          <w:lang w:eastAsia="zh-CN"/>
        </w:rPr>
        <w:t>年</w:t>
      </w:r>
      <w:r w:rsidR="0047259E">
        <w:rPr>
          <w:lang w:eastAsia="zh-CN"/>
        </w:rPr>
        <w:t>2</w:t>
      </w:r>
      <w:r w:rsidR="00DC13F4">
        <w:rPr>
          <w:lang w:eastAsia="zh-CN"/>
        </w:rPr>
        <w:t>月</w:t>
      </w:r>
      <w:r w:rsidR="0047259E">
        <w:rPr>
          <w:lang w:eastAsia="zh-CN"/>
        </w:rPr>
        <w:t>1</w:t>
      </w:r>
      <w:r w:rsidR="00DC13F4">
        <w:rPr>
          <w:lang w:eastAsia="zh-CN"/>
        </w:rPr>
        <w:t>日，公司第二届监事会第十</w:t>
      </w:r>
      <w:r w:rsidR="0058011B">
        <w:rPr>
          <w:rFonts w:hint="eastAsia"/>
          <w:lang w:eastAsia="zh-CN"/>
        </w:rPr>
        <w:t>二</w:t>
      </w:r>
      <w:r w:rsidR="00DC13F4">
        <w:rPr>
          <w:lang w:eastAsia="zh-CN"/>
        </w:rPr>
        <w:t>次会议审议通过了《关于</w:t>
      </w:r>
      <w:r w:rsidR="006E0476">
        <w:rPr>
          <w:rFonts w:hint="eastAsia"/>
          <w:lang w:eastAsia="zh-CN"/>
        </w:rPr>
        <w:t>增</w:t>
      </w:r>
      <w:r w:rsidR="006E0476">
        <w:rPr>
          <w:rFonts w:hint="eastAsia"/>
          <w:lang w:eastAsia="zh-CN"/>
        </w:rPr>
        <w:lastRenderedPageBreak/>
        <w:t>加</w:t>
      </w:r>
      <w:r w:rsidR="00DC13F4">
        <w:rPr>
          <w:lang w:eastAsia="zh-CN"/>
        </w:rPr>
        <w:t>使用部分闲置募集资金进行现金管理额度的议案》，发表意见如下：</w:t>
      </w:r>
      <w:bookmarkStart w:id="2" w:name="_Hlk125994460"/>
      <w:r w:rsidR="002D7585">
        <w:rPr>
          <w:rFonts w:hint="eastAsia"/>
          <w:lang w:eastAsia="zh-CN"/>
        </w:rPr>
        <w:t>公司本次增加使用闲置募集资金进行现金管理额度，上述事项的内容及审议程序符合《上市公司监管指引第</w:t>
      </w:r>
      <w:r w:rsidR="002D7585">
        <w:rPr>
          <w:lang w:eastAsia="zh-CN"/>
        </w:rPr>
        <w:t>2号——上市公司募集资金管理和使用的监管要求》《上海证券交易所科创板上市公司自律监管指引第1号——规范运作》等相关法律法规、规章及其他规范性文件和公司《募集资金管理制度》的规定，且公司本次增加闲置募集资金进行现金管理没有与募集资金投资项目的建设内容相抵触，不影响募集资金投资项目的正常实施，不会影响公司募集资金的正常使用，不存在变相改变募集资金投向和损害公司股东利益特别是中小股东利益的情形，符合公司和全体股东的利益，</w:t>
      </w:r>
      <w:r w:rsidR="002D7585">
        <w:rPr>
          <w:rFonts w:hint="eastAsia"/>
          <w:lang w:eastAsia="zh-CN"/>
        </w:rPr>
        <w:t>有利于提高公司的资金使用效率，获取良好的投资回报。</w:t>
      </w:r>
    </w:p>
    <w:p w14:paraId="7A41A9CC" w14:textId="451C6303" w:rsidR="002C0471" w:rsidRPr="002D7585" w:rsidRDefault="002D7585" w:rsidP="002D7585">
      <w:pPr>
        <w:pStyle w:val="a8"/>
        <w:spacing w:line="360" w:lineRule="auto"/>
        <w:ind w:left="0" w:firstLineChars="200" w:firstLine="480"/>
        <w:jc w:val="both"/>
        <w:rPr>
          <w:lang w:eastAsia="zh-CN"/>
        </w:rPr>
      </w:pPr>
      <w:r>
        <w:rPr>
          <w:rFonts w:hint="eastAsia"/>
          <w:lang w:eastAsia="zh-CN"/>
        </w:rPr>
        <w:t>综上，监事会同意公司</w:t>
      </w:r>
      <w:r w:rsidR="00082593">
        <w:rPr>
          <w:rFonts w:hint="eastAsia"/>
          <w:lang w:eastAsia="zh-CN"/>
        </w:rPr>
        <w:t>及子公司</w:t>
      </w:r>
      <w:r>
        <w:rPr>
          <w:rFonts w:hint="eastAsia"/>
          <w:lang w:eastAsia="zh-CN"/>
        </w:rPr>
        <w:t>增加使用闲置募集资金进行现金管理额度，使用不超过人民币</w:t>
      </w:r>
      <w:r>
        <w:rPr>
          <w:lang w:eastAsia="zh-CN"/>
        </w:rPr>
        <w:t>3.5亿元</w:t>
      </w:r>
      <w:r>
        <w:rPr>
          <w:rFonts w:hint="eastAsia"/>
          <w:lang w:eastAsia="zh-CN"/>
        </w:rPr>
        <w:t>（含本数）</w:t>
      </w:r>
      <w:r>
        <w:rPr>
          <w:lang w:eastAsia="zh-CN"/>
        </w:rPr>
        <w:t>的暂时闲置募集资金进行现金管理。</w:t>
      </w:r>
    </w:p>
    <w:bookmarkEnd w:id="2"/>
    <w:p w14:paraId="4390321B" w14:textId="57B35368" w:rsidR="00093DD4" w:rsidRDefault="00DC13F4" w:rsidP="00F4560A">
      <w:pPr>
        <w:pStyle w:val="a8"/>
        <w:spacing w:line="360" w:lineRule="auto"/>
        <w:ind w:left="0" w:firstLineChars="200" w:firstLine="480"/>
        <w:jc w:val="both"/>
        <w:rPr>
          <w:lang w:eastAsia="zh-CN"/>
        </w:rPr>
      </w:pPr>
      <w:r>
        <w:rPr>
          <w:lang w:eastAsia="zh-CN"/>
        </w:rPr>
        <w:t>3、保荐机构核查意见</w:t>
      </w:r>
    </w:p>
    <w:p w14:paraId="55C7F785" w14:textId="77777777" w:rsidR="00FE5C56" w:rsidRDefault="00FE5C56" w:rsidP="00A82938">
      <w:pPr>
        <w:pStyle w:val="a8"/>
        <w:spacing w:line="360" w:lineRule="auto"/>
        <w:ind w:firstLineChars="200" w:firstLine="480"/>
        <w:jc w:val="both"/>
        <w:rPr>
          <w:lang w:eastAsia="zh-CN"/>
        </w:rPr>
      </w:pPr>
      <w:r>
        <w:rPr>
          <w:rFonts w:hint="eastAsia"/>
          <w:lang w:eastAsia="zh-CN"/>
        </w:rPr>
        <w:t>保荐机构认为：公司及子公司本次增加暂时闲置募集资金进行现金管理额度的事项已经公司董事会、监事会审议通过，独立董事发表了明确同意意见，履行了必要的审批程序。公司使用暂时闲置募集资金进行现金管理不会影响募集资金投资项目的正常进行，符合《上市公司监管指引第</w:t>
      </w:r>
      <w:r>
        <w:rPr>
          <w:lang w:eastAsia="zh-CN"/>
        </w:rPr>
        <w:t>2号——上市公司募集资金管理和使用的监管要求》、《上海证券交易所科创板上市公司自律监管指引第1号——规范运作》等法律、法规以及规范性文件的相关规定，不存在变相改变募集资金用途的情形，不存在损害公司和股东利益的情况。</w:t>
      </w:r>
    </w:p>
    <w:p w14:paraId="1C9F6FCE" w14:textId="736F89E5" w:rsidR="00F014B0" w:rsidRDefault="00FE5C56" w:rsidP="00A82938">
      <w:pPr>
        <w:pStyle w:val="a8"/>
        <w:spacing w:line="360" w:lineRule="auto"/>
        <w:ind w:left="0" w:firstLineChars="200" w:firstLine="480"/>
        <w:jc w:val="both"/>
        <w:rPr>
          <w:lang w:eastAsia="zh-CN"/>
        </w:rPr>
      </w:pPr>
      <w:r>
        <w:rPr>
          <w:rFonts w:hint="eastAsia"/>
          <w:lang w:eastAsia="zh-CN"/>
        </w:rPr>
        <w:t>综上，保荐机构对公司及子公司本次增加暂时闲置募集资金进行现金管理额度的事项无异议。</w:t>
      </w:r>
    </w:p>
    <w:p w14:paraId="5DE936B8" w14:textId="2CEC813A" w:rsidR="00EC5830" w:rsidRDefault="00EC5830" w:rsidP="00EC5830">
      <w:pPr>
        <w:pStyle w:val="1"/>
        <w:spacing w:before="120" w:afterLines="100" w:after="312"/>
        <w:rPr>
          <w:lang w:eastAsia="zh-CN"/>
        </w:rPr>
      </w:pPr>
      <w:r>
        <w:rPr>
          <w:rFonts w:hint="eastAsia"/>
          <w:lang w:eastAsia="zh-CN"/>
        </w:rPr>
        <w:t>八</w:t>
      </w:r>
      <w:r>
        <w:rPr>
          <w:lang w:eastAsia="zh-CN"/>
        </w:rPr>
        <w:t>、上网公告附件</w:t>
      </w:r>
    </w:p>
    <w:p w14:paraId="56E51AB7" w14:textId="49715D4D" w:rsidR="00EC5830" w:rsidRDefault="00EC5830" w:rsidP="00EC5830">
      <w:pPr>
        <w:pStyle w:val="a8"/>
        <w:spacing w:line="338" w:lineRule="auto"/>
        <w:ind w:firstLine="479"/>
        <w:rPr>
          <w:lang w:eastAsia="zh-CN"/>
        </w:rPr>
      </w:pPr>
      <w:r>
        <w:rPr>
          <w:rFonts w:ascii="Times New Roman" w:eastAsia="Times New Roman" w:hAnsi="Times New Roman" w:cs="Times New Roman"/>
          <w:lang w:eastAsia="zh-CN"/>
        </w:rPr>
        <w:t>1</w:t>
      </w:r>
      <w:r>
        <w:rPr>
          <w:lang w:eastAsia="zh-CN"/>
        </w:rPr>
        <w:t>、《</w:t>
      </w:r>
      <w:r>
        <w:rPr>
          <w:rFonts w:hint="eastAsia"/>
          <w:lang w:eastAsia="zh-CN"/>
        </w:rPr>
        <w:t>赛恩斯环保</w:t>
      </w:r>
      <w:r>
        <w:rPr>
          <w:lang w:eastAsia="zh-CN"/>
        </w:rPr>
        <w:t>股份有限公司独立董事关于第</w:t>
      </w:r>
      <w:r>
        <w:rPr>
          <w:rFonts w:hint="eastAsia"/>
          <w:lang w:eastAsia="zh-CN"/>
        </w:rPr>
        <w:t>二</w:t>
      </w:r>
      <w:r>
        <w:rPr>
          <w:lang w:eastAsia="zh-CN"/>
        </w:rPr>
        <w:t>届董事会第</w:t>
      </w:r>
      <w:r>
        <w:rPr>
          <w:rFonts w:hint="eastAsia"/>
          <w:lang w:eastAsia="zh-CN"/>
        </w:rPr>
        <w:t>十</w:t>
      </w:r>
      <w:r w:rsidR="00401B83">
        <w:rPr>
          <w:rFonts w:hint="eastAsia"/>
          <w:lang w:eastAsia="zh-CN"/>
        </w:rPr>
        <w:t>八</w:t>
      </w:r>
      <w:r>
        <w:rPr>
          <w:lang w:eastAsia="zh-CN"/>
        </w:rPr>
        <w:t>次会议相关事项的独立意见》；</w:t>
      </w:r>
      <w:r>
        <w:rPr>
          <w:rFonts w:hint="eastAsia"/>
          <w:lang w:eastAsia="zh-CN"/>
        </w:rPr>
        <w:t xml:space="preserve"> </w:t>
      </w:r>
    </w:p>
    <w:p w14:paraId="2E3ED192" w14:textId="55FC4E5E" w:rsidR="00EC5830" w:rsidRDefault="00EC5830" w:rsidP="00EC5830">
      <w:pPr>
        <w:pStyle w:val="a8"/>
        <w:spacing w:before="209" w:line="338" w:lineRule="auto"/>
        <w:ind w:firstLine="479"/>
        <w:rPr>
          <w:lang w:eastAsia="zh-CN"/>
        </w:rPr>
      </w:pPr>
      <w:r>
        <w:rPr>
          <w:rFonts w:ascii="Times New Roman" w:eastAsia="Times New Roman" w:hAnsi="Times New Roman" w:cs="Times New Roman"/>
          <w:lang w:eastAsia="zh-CN"/>
        </w:rPr>
        <w:t>2</w:t>
      </w:r>
      <w:r>
        <w:rPr>
          <w:lang w:eastAsia="zh-CN"/>
        </w:rPr>
        <w:t>、《</w:t>
      </w:r>
      <w:r w:rsidR="00FE5C56" w:rsidRPr="00FE5C56">
        <w:rPr>
          <w:rFonts w:hint="eastAsia"/>
          <w:lang w:eastAsia="zh-CN"/>
        </w:rPr>
        <w:t>申万宏源证券承销保荐有限责任公司关于赛恩斯环保股份有限公司增加暂时闲置募集资金进行现金管理额度的核查意见</w:t>
      </w:r>
      <w:r>
        <w:rPr>
          <w:lang w:eastAsia="zh-CN"/>
        </w:rPr>
        <w:t>》。</w:t>
      </w:r>
    </w:p>
    <w:p w14:paraId="3AFAA7E1" w14:textId="77777777" w:rsidR="00EC5830" w:rsidRDefault="00EC5830" w:rsidP="00EC5830">
      <w:pPr>
        <w:pStyle w:val="a8"/>
        <w:spacing w:before="209"/>
        <w:ind w:left="600"/>
        <w:rPr>
          <w:lang w:eastAsia="zh-CN"/>
        </w:rPr>
      </w:pPr>
      <w:r>
        <w:rPr>
          <w:lang w:eastAsia="zh-CN"/>
        </w:rPr>
        <w:t>特此公告。</w:t>
      </w:r>
    </w:p>
    <w:p w14:paraId="731B6451" w14:textId="7CE45981" w:rsidR="00F014B0" w:rsidRPr="00EC5830" w:rsidRDefault="00F014B0" w:rsidP="002C0471">
      <w:pPr>
        <w:pStyle w:val="a8"/>
        <w:spacing w:line="360" w:lineRule="auto"/>
        <w:ind w:left="0" w:firstLineChars="200" w:firstLine="480"/>
        <w:rPr>
          <w:lang w:eastAsia="zh-CN"/>
        </w:rPr>
      </w:pPr>
    </w:p>
    <w:p w14:paraId="2A3FB1FF" w14:textId="689C47E5" w:rsidR="00F014B0" w:rsidRPr="00221852" w:rsidRDefault="00F014B0" w:rsidP="002C0471">
      <w:pPr>
        <w:pStyle w:val="a8"/>
        <w:spacing w:line="360" w:lineRule="auto"/>
        <w:ind w:left="0" w:firstLineChars="200" w:firstLine="480"/>
        <w:rPr>
          <w:lang w:eastAsia="zh-CN"/>
        </w:rPr>
      </w:pPr>
    </w:p>
    <w:p w14:paraId="4E7F083D" w14:textId="7A6BE326" w:rsidR="00F014B0" w:rsidRDefault="00F014B0" w:rsidP="002C0471">
      <w:pPr>
        <w:pStyle w:val="a8"/>
        <w:spacing w:line="360" w:lineRule="auto"/>
        <w:ind w:left="0" w:firstLineChars="200" w:firstLine="480"/>
        <w:rPr>
          <w:lang w:eastAsia="zh-CN"/>
        </w:rPr>
      </w:pPr>
    </w:p>
    <w:p w14:paraId="17F62497" w14:textId="0427F861" w:rsidR="00F014B0" w:rsidRDefault="00F014B0" w:rsidP="00F014B0">
      <w:pPr>
        <w:pStyle w:val="a8"/>
        <w:spacing w:line="360" w:lineRule="auto"/>
        <w:ind w:left="0" w:firstLineChars="200" w:firstLine="480"/>
        <w:jc w:val="right"/>
        <w:rPr>
          <w:lang w:eastAsia="zh-CN"/>
        </w:rPr>
      </w:pPr>
      <w:r>
        <w:rPr>
          <w:rFonts w:hint="eastAsia"/>
          <w:lang w:eastAsia="zh-CN"/>
        </w:rPr>
        <w:t>赛恩斯环保股份有限公司董事会</w:t>
      </w:r>
    </w:p>
    <w:p w14:paraId="0C706055" w14:textId="1B6D5C37" w:rsidR="00F014B0" w:rsidRPr="00DC13F4" w:rsidRDefault="00F014B0" w:rsidP="00F014B0">
      <w:pPr>
        <w:pStyle w:val="a8"/>
        <w:spacing w:line="360" w:lineRule="auto"/>
        <w:ind w:left="0" w:firstLineChars="200" w:firstLine="480"/>
        <w:jc w:val="right"/>
        <w:rPr>
          <w:lang w:eastAsia="zh-CN"/>
        </w:rPr>
      </w:pPr>
      <w:r>
        <w:rPr>
          <w:rFonts w:hint="eastAsia"/>
          <w:lang w:eastAsia="zh-CN"/>
        </w:rPr>
        <w:t>2</w:t>
      </w:r>
      <w:r>
        <w:rPr>
          <w:lang w:eastAsia="zh-CN"/>
        </w:rPr>
        <w:t>023</w:t>
      </w:r>
      <w:r>
        <w:rPr>
          <w:rFonts w:hint="eastAsia"/>
          <w:lang w:eastAsia="zh-CN"/>
        </w:rPr>
        <w:t>年2月</w:t>
      </w:r>
      <w:r w:rsidR="00855A0A">
        <w:rPr>
          <w:lang w:eastAsia="zh-CN"/>
        </w:rPr>
        <w:t>3</w:t>
      </w:r>
      <w:r>
        <w:rPr>
          <w:rFonts w:hint="eastAsia"/>
          <w:lang w:eastAsia="zh-CN"/>
        </w:rPr>
        <w:t>日</w:t>
      </w:r>
    </w:p>
    <w:sectPr w:rsidR="00F014B0" w:rsidRPr="00DC13F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BD0932" w14:textId="77777777" w:rsidR="00EE11CA" w:rsidRDefault="00EE11CA" w:rsidP="00DC13F4">
      <w:r>
        <w:separator/>
      </w:r>
    </w:p>
  </w:endnote>
  <w:endnote w:type="continuationSeparator" w:id="0">
    <w:p w14:paraId="6BD6FDEE" w14:textId="77777777" w:rsidR="00EE11CA" w:rsidRDefault="00EE11CA" w:rsidP="00DC13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F43A4B" w14:textId="77777777" w:rsidR="00EE11CA" w:rsidRDefault="00EE11CA" w:rsidP="00DC13F4">
      <w:r>
        <w:separator/>
      </w:r>
    </w:p>
  </w:footnote>
  <w:footnote w:type="continuationSeparator" w:id="0">
    <w:p w14:paraId="680AB6F7" w14:textId="77777777" w:rsidR="00EE11CA" w:rsidRDefault="00EE11CA" w:rsidP="00DC13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5B1007"/>
    <w:multiLevelType w:val="hybridMultilevel"/>
    <w:tmpl w:val="661EEDFA"/>
    <w:lvl w:ilvl="0" w:tplc="A2204ECC">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 w15:restartNumberingAfterBreak="0">
    <w:nsid w:val="54E05C37"/>
    <w:multiLevelType w:val="hybridMultilevel"/>
    <w:tmpl w:val="F9A6D90C"/>
    <w:lvl w:ilvl="0" w:tplc="7BEA3984">
      <w:start w:val="3"/>
      <w:numFmt w:val="japaneseCounting"/>
      <w:lvlText w:val="%1、"/>
      <w:lvlJc w:val="left"/>
      <w:pPr>
        <w:ind w:left="1322" w:hanging="720"/>
      </w:pPr>
      <w:rPr>
        <w:rFonts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abstractNum w:abstractNumId="2" w15:restartNumberingAfterBreak="0">
    <w:nsid w:val="58945ECC"/>
    <w:multiLevelType w:val="hybridMultilevel"/>
    <w:tmpl w:val="9D3453E4"/>
    <w:lvl w:ilvl="0" w:tplc="F7506FE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F114B50"/>
    <w:multiLevelType w:val="hybridMultilevel"/>
    <w:tmpl w:val="AF1E886A"/>
    <w:lvl w:ilvl="0" w:tplc="0852A60C">
      <w:start w:val="3"/>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6AB4BDC"/>
    <w:multiLevelType w:val="hybridMultilevel"/>
    <w:tmpl w:val="7F208ABE"/>
    <w:lvl w:ilvl="0" w:tplc="D2602B68">
      <w:start w:val="1"/>
      <w:numFmt w:val="japaneseCounting"/>
      <w:lvlText w:val="%1、"/>
      <w:lvlJc w:val="left"/>
      <w:pPr>
        <w:ind w:left="1076" w:hanging="480"/>
      </w:pPr>
      <w:rPr>
        <w:rFonts w:hint="default"/>
      </w:rPr>
    </w:lvl>
    <w:lvl w:ilvl="1" w:tplc="04090019" w:tentative="1">
      <w:start w:val="1"/>
      <w:numFmt w:val="lowerLetter"/>
      <w:lvlText w:val="%2)"/>
      <w:lvlJc w:val="left"/>
      <w:pPr>
        <w:ind w:left="1436" w:hanging="420"/>
      </w:pPr>
    </w:lvl>
    <w:lvl w:ilvl="2" w:tplc="0409001B" w:tentative="1">
      <w:start w:val="1"/>
      <w:numFmt w:val="lowerRoman"/>
      <w:lvlText w:val="%3."/>
      <w:lvlJc w:val="right"/>
      <w:pPr>
        <w:ind w:left="1856" w:hanging="420"/>
      </w:pPr>
    </w:lvl>
    <w:lvl w:ilvl="3" w:tplc="0409000F" w:tentative="1">
      <w:start w:val="1"/>
      <w:numFmt w:val="decimal"/>
      <w:lvlText w:val="%4."/>
      <w:lvlJc w:val="left"/>
      <w:pPr>
        <w:ind w:left="2276" w:hanging="420"/>
      </w:pPr>
    </w:lvl>
    <w:lvl w:ilvl="4" w:tplc="04090019" w:tentative="1">
      <w:start w:val="1"/>
      <w:numFmt w:val="lowerLetter"/>
      <w:lvlText w:val="%5)"/>
      <w:lvlJc w:val="left"/>
      <w:pPr>
        <w:ind w:left="2696" w:hanging="420"/>
      </w:pPr>
    </w:lvl>
    <w:lvl w:ilvl="5" w:tplc="0409001B" w:tentative="1">
      <w:start w:val="1"/>
      <w:numFmt w:val="lowerRoman"/>
      <w:lvlText w:val="%6."/>
      <w:lvlJc w:val="right"/>
      <w:pPr>
        <w:ind w:left="3116" w:hanging="420"/>
      </w:pPr>
    </w:lvl>
    <w:lvl w:ilvl="6" w:tplc="0409000F" w:tentative="1">
      <w:start w:val="1"/>
      <w:numFmt w:val="decimal"/>
      <w:lvlText w:val="%7."/>
      <w:lvlJc w:val="left"/>
      <w:pPr>
        <w:ind w:left="3536" w:hanging="420"/>
      </w:pPr>
    </w:lvl>
    <w:lvl w:ilvl="7" w:tplc="04090019" w:tentative="1">
      <w:start w:val="1"/>
      <w:numFmt w:val="lowerLetter"/>
      <w:lvlText w:val="%8)"/>
      <w:lvlJc w:val="left"/>
      <w:pPr>
        <w:ind w:left="3956" w:hanging="420"/>
      </w:pPr>
    </w:lvl>
    <w:lvl w:ilvl="8" w:tplc="0409001B" w:tentative="1">
      <w:start w:val="1"/>
      <w:numFmt w:val="lowerRoman"/>
      <w:lvlText w:val="%9."/>
      <w:lvlJc w:val="right"/>
      <w:pPr>
        <w:ind w:left="4376" w:hanging="420"/>
      </w:pPr>
    </w:lvl>
  </w:abstractNum>
  <w:num w:numId="1" w16cid:durableId="1788740040">
    <w:abstractNumId w:val="4"/>
  </w:num>
  <w:num w:numId="2" w16cid:durableId="2070304773">
    <w:abstractNumId w:val="0"/>
  </w:num>
  <w:num w:numId="3" w16cid:durableId="6254250">
    <w:abstractNumId w:val="2"/>
  </w:num>
  <w:num w:numId="4" w16cid:durableId="821166201">
    <w:abstractNumId w:val="1"/>
  </w:num>
  <w:num w:numId="5" w16cid:durableId="20647195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DE4244"/>
    <w:rsid w:val="00082593"/>
    <w:rsid w:val="00093DD4"/>
    <w:rsid w:val="001C16AD"/>
    <w:rsid w:val="00221852"/>
    <w:rsid w:val="0023484C"/>
    <w:rsid w:val="00281AC7"/>
    <w:rsid w:val="002C0471"/>
    <w:rsid w:val="002D7585"/>
    <w:rsid w:val="003238B9"/>
    <w:rsid w:val="00390FC9"/>
    <w:rsid w:val="003C54A0"/>
    <w:rsid w:val="00401B83"/>
    <w:rsid w:val="0047259E"/>
    <w:rsid w:val="004A1A3A"/>
    <w:rsid w:val="004C7043"/>
    <w:rsid w:val="004D3A1C"/>
    <w:rsid w:val="004E168A"/>
    <w:rsid w:val="004F2FB5"/>
    <w:rsid w:val="0058011B"/>
    <w:rsid w:val="00583182"/>
    <w:rsid w:val="00626DEB"/>
    <w:rsid w:val="0065655C"/>
    <w:rsid w:val="006B7BFA"/>
    <w:rsid w:val="006E0476"/>
    <w:rsid w:val="00707E0E"/>
    <w:rsid w:val="0072127A"/>
    <w:rsid w:val="00781E55"/>
    <w:rsid w:val="0078603F"/>
    <w:rsid w:val="007B3D85"/>
    <w:rsid w:val="008103DA"/>
    <w:rsid w:val="00855A0A"/>
    <w:rsid w:val="009175CE"/>
    <w:rsid w:val="00943865"/>
    <w:rsid w:val="0097390D"/>
    <w:rsid w:val="009E4CB7"/>
    <w:rsid w:val="00A82938"/>
    <w:rsid w:val="00A85099"/>
    <w:rsid w:val="00AA6451"/>
    <w:rsid w:val="00AB4F2B"/>
    <w:rsid w:val="00AE08A2"/>
    <w:rsid w:val="00B16EC7"/>
    <w:rsid w:val="00B23275"/>
    <w:rsid w:val="00BC1A62"/>
    <w:rsid w:val="00BD0402"/>
    <w:rsid w:val="00BD1938"/>
    <w:rsid w:val="00C737FD"/>
    <w:rsid w:val="00C94940"/>
    <w:rsid w:val="00DC13F4"/>
    <w:rsid w:val="00DE4244"/>
    <w:rsid w:val="00DF5EF7"/>
    <w:rsid w:val="00E0557F"/>
    <w:rsid w:val="00EB232A"/>
    <w:rsid w:val="00EC5830"/>
    <w:rsid w:val="00EE11CA"/>
    <w:rsid w:val="00F014B0"/>
    <w:rsid w:val="00F41C1B"/>
    <w:rsid w:val="00F4560A"/>
    <w:rsid w:val="00F80BA6"/>
    <w:rsid w:val="00F91F0B"/>
    <w:rsid w:val="00F941BD"/>
    <w:rsid w:val="00FD19CB"/>
    <w:rsid w:val="00FE5C56"/>
    <w:rsid w:val="00FF38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99E559"/>
  <w15:chartTrackingRefBased/>
  <w15:docId w15:val="{8B18C98E-B762-42D5-B358-B7F54F61C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C13F4"/>
    <w:pPr>
      <w:widowControl w:val="0"/>
      <w:jc w:val="both"/>
    </w:pPr>
  </w:style>
  <w:style w:type="paragraph" w:styleId="1">
    <w:name w:val="heading 1"/>
    <w:basedOn w:val="a"/>
    <w:next w:val="a"/>
    <w:link w:val="10"/>
    <w:uiPriority w:val="9"/>
    <w:qFormat/>
    <w:rsid w:val="004A1A3A"/>
    <w:pPr>
      <w:spacing w:before="192"/>
      <w:ind w:left="600" w:firstLine="2"/>
      <w:jc w:val="left"/>
      <w:outlineLvl w:val="0"/>
    </w:pPr>
    <w:rPr>
      <w:rFonts w:ascii="宋体" w:eastAsia="宋体" w:hAnsi="宋体"/>
      <w:b/>
      <w:bCs/>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C13F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C13F4"/>
    <w:rPr>
      <w:sz w:val="18"/>
      <w:szCs w:val="18"/>
    </w:rPr>
  </w:style>
  <w:style w:type="paragraph" w:styleId="a5">
    <w:name w:val="footer"/>
    <w:basedOn w:val="a"/>
    <w:link w:val="a6"/>
    <w:uiPriority w:val="99"/>
    <w:unhideWhenUsed/>
    <w:rsid w:val="00DC13F4"/>
    <w:pPr>
      <w:tabs>
        <w:tab w:val="center" w:pos="4153"/>
        <w:tab w:val="right" w:pos="8306"/>
      </w:tabs>
      <w:snapToGrid w:val="0"/>
      <w:jc w:val="left"/>
    </w:pPr>
    <w:rPr>
      <w:sz w:val="18"/>
      <w:szCs w:val="18"/>
    </w:rPr>
  </w:style>
  <w:style w:type="character" w:customStyle="1" w:styleId="a6">
    <w:name w:val="页脚 字符"/>
    <w:basedOn w:val="a0"/>
    <w:link w:val="a5"/>
    <w:uiPriority w:val="99"/>
    <w:rsid w:val="00DC13F4"/>
    <w:rPr>
      <w:sz w:val="18"/>
      <w:szCs w:val="18"/>
    </w:rPr>
  </w:style>
  <w:style w:type="table" w:styleId="a7">
    <w:name w:val="Table Grid"/>
    <w:basedOn w:val="a1"/>
    <w:uiPriority w:val="59"/>
    <w:rsid w:val="00DC13F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Body Text"/>
    <w:basedOn w:val="a"/>
    <w:link w:val="a9"/>
    <w:uiPriority w:val="1"/>
    <w:qFormat/>
    <w:rsid w:val="00DC13F4"/>
    <w:pPr>
      <w:ind w:left="120"/>
      <w:jc w:val="left"/>
    </w:pPr>
    <w:rPr>
      <w:rFonts w:ascii="宋体" w:eastAsia="宋体" w:hAnsi="宋体"/>
      <w:kern w:val="0"/>
      <w:sz w:val="24"/>
      <w:szCs w:val="24"/>
      <w:lang w:eastAsia="en-US"/>
    </w:rPr>
  </w:style>
  <w:style w:type="character" w:customStyle="1" w:styleId="a9">
    <w:name w:val="正文文本 字符"/>
    <w:basedOn w:val="a0"/>
    <w:link w:val="a8"/>
    <w:uiPriority w:val="1"/>
    <w:rsid w:val="00DC13F4"/>
    <w:rPr>
      <w:rFonts w:ascii="宋体" w:eastAsia="宋体" w:hAnsi="宋体"/>
      <w:kern w:val="0"/>
      <w:sz w:val="24"/>
      <w:szCs w:val="24"/>
      <w:lang w:eastAsia="en-US"/>
    </w:rPr>
  </w:style>
  <w:style w:type="character" w:styleId="aa">
    <w:name w:val="Placeholder Text"/>
    <w:basedOn w:val="a0"/>
    <w:uiPriority w:val="99"/>
    <w:semiHidden/>
    <w:rsid w:val="002C0471"/>
  </w:style>
  <w:style w:type="character" w:customStyle="1" w:styleId="10">
    <w:name w:val="标题 1 字符"/>
    <w:basedOn w:val="a0"/>
    <w:link w:val="1"/>
    <w:uiPriority w:val="9"/>
    <w:rsid w:val="004A1A3A"/>
    <w:rPr>
      <w:rFonts w:ascii="宋体" w:eastAsia="宋体" w:hAnsi="宋体"/>
      <w:b/>
      <w:bCs/>
      <w:kern w:val="0"/>
      <w:sz w:val="24"/>
      <w:szCs w:val="24"/>
      <w:lang w:eastAsia="en-US"/>
    </w:rPr>
  </w:style>
  <w:style w:type="paragraph" w:styleId="ab">
    <w:name w:val="List Paragraph"/>
    <w:basedOn w:val="a"/>
    <w:uiPriority w:val="34"/>
    <w:qFormat/>
    <w:rsid w:val="004A1A3A"/>
    <w:pPr>
      <w:ind w:firstLineChars="200" w:firstLine="420"/>
    </w:pPr>
  </w:style>
  <w:style w:type="paragraph" w:styleId="ac">
    <w:name w:val="Revision"/>
    <w:hidden/>
    <w:uiPriority w:val="99"/>
    <w:semiHidden/>
    <w:rsid w:val="0065655C"/>
  </w:style>
  <w:style w:type="character" w:styleId="ad">
    <w:name w:val="annotation reference"/>
    <w:basedOn w:val="a0"/>
    <w:uiPriority w:val="99"/>
    <w:semiHidden/>
    <w:unhideWhenUsed/>
    <w:rsid w:val="00781E55"/>
    <w:rPr>
      <w:sz w:val="21"/>
      <w:szCs w:val="21"/>
    </w:rPr>
  </w:style>
  <w:style w:type="paragraph" w:styleId="ae">
    <w:name w:val="annotation text"/>
    <w:basedOn w:val="a"/>
    <w:link w:val="af"/>
    <w:uiPriority w:val="99"/>
    <w:semiHidden/>
    <w:unhideWhenUsed/>
    <w:rsid w:val="00781E55"/>
    <w:pPr>
      <w:jc w:val="left"/>
    </w:pPr>
  </w:style>
  <w:style w:type="character" w:customStyle="1" w:styleId="af">
    <w:name w:val="批注文字 字符"/>
    <w:basedOn w:val="a0"/>
    <w:link w:val="ae"/>
    <w:uiPriority w:val="99"/>
    <w:semiHidden/>
    <w:rsid w:val="00781E55"/>
  </w:style>
  <w:style w:type="paragraph" w:styleId="af0">
    <w:name w:val="annotation subject"/>
    <w:basedOn w:val="ae"/>
    <w:next w:val="ae"/>
    <w:link w:val="af1"/>
    <w:uiPriority w:val="99"/>
    <w:semiHidden/>
    <w:unhideWhenUsed/>
    <w:rsid w:val="00781E55"/>
    <w:rPr>
      <w:b/>
      <w:bCs/>
    </w:rPr>
  </w:style>
  <w:style w:type="character" w:customStyle="1" w:styleId="af1">
    <w:name w:val="批注主题 字符"/>
    <w:basedOn w:val="af"/>
    <w:link w:val="af0"/>
    <w:uiPriority w:val="99"/>
    <w:semiHidden/>
    <w:rsid w:val="00781E5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3649169">
      <w:bodyDiv w:val="1"/>
      <w:marLeft w:val="0"/>
      <w:marRight w:val="0"/>
      <w:marTop w:val="0"/>
      <w:marBottom w:val="0"/>
      <w:divBdr>
        <w:top w:val="none" w:sz="0" w:space="0" w:color="auto"/>
        <w:left w:val="none" w:sz="0" w:space="0" w:color="auto"/>
        <w:bottom w:val="none" w:sz="0" w:space="0" w:color="auto"/>
        <w:right w:val="none" w:sz="0" w:space="0" w:color="auto"/>
      </w:divBdr>
    </w:div>
    <w:div w:id="905845485">
      <w:bodyDiv w:val="1"/>
      <w:marLeft w:val="0"/>
      <w:marRight w:val="0"/>
      <w:marTop w:val="0"/>
      <w:marBottom w:val="0"/>
      <w:divBdr>
        <w:top w:val="none" w:sz="0" w:space="0" w:color="auto"/>
        <w:left w:val="none" w:sz="0" w:space="0" w:color="auto"/>
        <w:bottom w:val="none" w:sz="0" w:space="0" w:color="auto"/>
        <w:right w:val="none" w:sz="0" w:space="0" w:color="auto"/>
      </w:divBdr>
    </w:div>
    <w:div w:id="1840345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884EC0B18A34735AD72A98B382A655F"/>
        <w:category>
          <w:name w:val="常规"/>
          <w:gallery w:val="placeholder"/>
        </w:category>
        <w:types>
          <w:type w:val="bbPlcHdr"/>
        </w:types>
        <w:behaviors>
          <w:behavior w:val="content"/>
        </w:behaviors>
        <w:guid w:val="{644BFCBC-38CF-4EA7-96F0-A258661670AA}"/>
      </w:docPartPr>
      <w:docPartBody>
        <w:p w:rsidR="00164F49" w:rsidRDefault="007A3A77" w:rsidP="007A3A77">
          <w:pPr>
            <w:pStyle w:val="0884EC0B18A34735AD72A98B382A655F"/>
          </w:pPr>
          <w:r w:rsidRPr="00694298">
            <w:rPr>
              <w:rStyle w:val="a3"/>
              <w:rFonts w:hint="eastAsia"/>
              <w:color w:val="333399"/>
              <w:u w:val="single"/>
            </w:rPr>
            <w:t xml:space="preserve">　　　</w:t>
          </w:r>
        </w:p>
      </w:docPartBody>
    </w:docPart>
    <w:docPart>
      <w:docPartPr>
        <w:name w:val="24F22B25AD554CE6B7A18D45DC90EF5C"/>
        <w:category>
          <w:name w:val="常规"/>
          <w:gallery w:val="placeholder"/>
        </w:category>
        <w:types>
          <w:type w:val="bbPlcHdr"/>
        </w:types>
        <w:behaviors>
          <w:behavior w:val="content"/>
        </w:behaviors>
        <w:guid w:val="{774D509D-C9E8-4355-8224-DE19BB9AA1E0}"/>
      </w:docPartPr>
      <w:docPartBody>
        <w:p w:rsidR="00164F49" w:rsidRDefault="007A3A77" w:rsidP="007A3A77">
          <w:pPr>
            <w:pStyle w:val="24F22B25AD554CE6B7A18D45DC90EF5C"/>
          </w:pPr>
          <w:r w:rsidRPr="007313FD">
            <w:rPr>
              <w:rFonts w:asciiTheme="majorEastAsia" w:eastAsiaTheme="majorEastAsia" w:hAnsiTheme="majorEastAsia" w:hint="eastAsia"/>
              <w:b/>
              <w:color w:val="333399"/>
              <w:szCs w:val="36"/>
              <w:shd w:val="solid" w:color="FFFFFF" w:fill="auto"/>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sDel="0" w:formatting="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3A77"/>
    <w:rsid w:val="00071507"/>
    <w:rsid w:val="00134246"/>
    <w:rsid w:val="00164F49"/>
    <w:rsid w:val="00166F56"/>
    <w:rsid w:val="00232C3B"/>
    <w:rsid w:val="002360BD"/>
    <w:rsid w:val="00353086"/>
    <w:rsid w:val="00422E91"/>
    <w:rsid w:val="00445BB5"/>
    <w:rsid w:val="006D11D4"/>
    <w:rsid w:val="00771CEE"/>
    <w:rsid w:val="007A3A77"/>
    <w:rsid w:val="008C5C1C"/>
    <w:rsid w:val="008F137B"/>
    <w:rsid w:val="00D85940"/>
    <w:rsid w:val="00E70F5E"/>
    <w:rsid w:val="00F9062A"/>
    <w:rsid w:val="00FC0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D11D4"/>
  </w:style>
  <w:style w:type="paragraph" w:customStyle="1" w:styleId="0884EC0B18A34735AD72A98B382A655F">
    <w:name w:val="0884EC0B18A34735AD72A98B382A655F"/>
    <w:rsid w:val="007A3A77"/>
    <w:pPr>
      <w:widowControl w:val="0"/>
      <w:jc w:val="both"/>
    </w:pPr>
  </w:style>
  <w:style w:type="paragraph" w:customStyle="1" w:styleId="24F22B25AD554CE6B7A18D45DC90EF5C">
    <w:name w:val="24F22B25AD554CE6B7A18D45DC90EF5C"/>
    <w:rsid w:val="007A3A77"/>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219</TotalTime>
  <Pages>7</Pages>
  <Words>700</Words>
  <Characters>3993</Characters>
  <Application>Microsoft Office Word</Application>
  <DocSecurity>0</DocSecurity>
  <Lines>33</Lines>
  <Paragraphs>9</Paragraphs>
  <ScaleCrop>false</ScaleCrop>
  <Company/>
  <LinksUpToDate>false</LinksUpToDate>
  <CharactersWithSpaces>4684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SES0140</dc:creator>
  <cp:keywords/>
  <dc:description/>
  <cp:lastModifiedBy>SES0140</cp:lastModifiedBy>
  <cp:revision>30</cp:revision>
  <dcterms:created xsi:type="dcterms:W3CDTF">2023-01-29T02:45:00Z</dcterms:created>
  <dcterms:modified xsi:type="dcterms:W3CDTF">2023-02-01T11:20:00Z</dcterms:modified>
</cp:coreProperties>
</file>